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农安县应急管理局首违不罚</w:t>
      </w:r>
      <w:r>
        <w:rPr>
          <w:rFonts w:hint="eastAsia"/>
          <w:b/>
          <w:sz w:val="32"/>
          <w:szCs w:val="32"/>
        </w:rPr>
        <w:t>清单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page" w:horzAnchor="margin" w:tblpY="3469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95"/>
        <w:gridCol w:w="2913"/>
        <w:gridCol w:w="2091"/>
        <w:gridCol w:w="1643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处罚事项</w:t>
            </w:r>
          </w:p>
        </w:tc>
        <w:tc>
          <w:tcPr>
            <w:tcW w:w="3160" w:type="dxa"/>
            <w:noWrap w:val="0"/>
            <w:vAlign w:val="top"/>
          </w:tcPr>
          <w:p>
            <w:pPr>
              <w:ind w:firstLine="64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不予处罚的情形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不予处罚的依据</w:t>
            </w:r>
          </w:p>
        </w:tc>
        <w:tc>
          <w:tcPr>
            <w:tcW w:w="1720" w:type="dxa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配套监管措施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40" w:type="dxa"/>
            <w:noWrap w:val="0"/>
            <w:vAlign w:val="top"/>
          </w:tcPr>
          <w:p>
            <w:pPr>
              <w:ind w:firstLine="640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ind w:firstLine="640"/>
            </w:pPr>
            <w:r>
              <w:rPr>
                <w:rFonts w:hint="eastAsia"/>
              </w:rPr>
              <w:t>生产经营单位未向从业人员通报事故隐患排查治理情况的。</w:t>
            </w:r>
          </w:p>
        </w:tc>
        <w:tc>
          <w:tcPr>
            <w:tcW w:w="3160" w:type="dxa"/>
            <w:noWrap w:val="0"/>
            <w:vAlign w:val="top"/>
          </w:tcPr>
          <w:p>
            <w:pPr>
              <w:ind w:firstLine="640"/>
            </w:pPr>
            <w:r>
              <w:rPr>
                <w:rFonts w:hint="eastAsia"/>
              </w:rPr>
              <w:t>非高危生产经营单位有证据证明开展了隐患排查治理工作，但未向从业人员通报（重大事故隐患除外），属于首次被发现，及时纠正，没有造成危害后果的。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ind w:firstLine="640"/>
            </w:pPr>
            <w:r>
              <w:rPr>
                <w:rFonts w:hint="eastAsia"/>
              </w:rPr>
              <w:t>《中华人民共和国行政处罚法》第</w:t>
            </w:r>
            <w:r>
              <w:rPr>
                <w:rFonts w:hint="eastAsia"/>
                <w:lang w:eastAsia="zh-CN"/>
              </w:rPr>
              <w:t>三十三条</w:t>
            </w:r>
          </w:p>
        </w:tc>
        <w:tc>
          <w:tcPr>
            <w:tcW w:w="1720" w:type="dxa"/>
            <w:noWrap w:val="0"/>
            <w:vAlign w:val="top"/>
          </w:tcPr>
          <w:p>
            <w:pPr>
              <w:ind w:firstLine="640"/>
            </w:pPr>
            <w:r>
              <w:rPr>
                <w:rFonts w:hint="eastAsia"/>
              </w:rPr>
              <w:t>预警提示、行政告诫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ind w:firstLine="640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860" w:type="dxa"/>
            <w:gridSpan w:val="6"/>
            <w:noWrap w:val="0"/>
            <w:vAlign w:val="top"/>
          </w:tcPr>
          <w:p>
            <w:pPr>
              <w:ind w:firstLine="640"/>
            </w:pPr>
            <w:r>
              <w:rPr>
                <w:rFonts w:hint="eastAsia"/>
              </w:rPr>
              <w:t>说明：配套监管措施主要是包容观察、预警提示、容缺执法、说服教育、劝导示范、行政建议、行政指导、行政约谈、行政告诫、行政回访等方式。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ODY0NjQ5NzU2YTVjNmFkNzBkM2QwOGJlZjBmZmMifQ=="/>
  </w:docVars>
  <w:rsids>
    <w:rsidRoot w:val="50CA59F2"/>
    <w:rsid w:val="50C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2023-10-19T06:02:00Z</dcterms:created>
  <dc:creator>东浪</dc:creator>
  <cp:lastModifiedBy>东浪</cp:lastModifiedBy>
  <cp:lastPrinted>2023-10-19T06:02:46Z</cp:lastPrinted>
  <dcterms:modified xsi:type="dcterms:W3CDTF">2023-10-19T06:03:50Z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CF15520EB4BC46E1ADAAD254B59FC519_11</vt:lpwstr>
  </property>
</Properties>
</file>