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农安县市场监督管理局</w:t>
      </w:r>
      <w:bookmarkStart w:id="0" w:name="_GoBack"/>
      <w:bookmarkEnd w:id="0"/>
      <w:r>
        <w:rPr>
          <w:rFonts w:hint="eastAsia"/>
          <w:b/>
          <w:bCs/>
          <w:sz w:val="40"/>
          <w:szCs w:val="48"/>
          <w:lang w:eastAsia="zh-CN"/>
        </w:rPr>
        <w:t>行政检查流程图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3830" cy="7776210"/>
            <wp:effectExtent l="0" t="0" r="13970" b="0"/>
            <wp:docPr id="1" name="图片 1" descr="W02019062857687499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190628576874996742"/>
                    <pic:cNvPicPr>
                      <a:picLocks noChangeAspect="1"/>
                    </pic:cNvPicPr>
                  </pic:nvPicPr>
                  <pic:blipFill>
                    <a:blip r:embed="rId4"/>
                    <a:srcRect l="-487" t="8498" r="1311" b="-5641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777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A24B1"/>
    <w:rsid w:val="005524EE"/>
    <w:rsid w:val="14BD11E2"/>
    <w:rsid w:val="3DEA2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2019-07-30T02:32:00Z</dcterms:created>
  <dc:creator>user</dc:creator>
  <cp:lastModifiedBy>Administrator</cp:lastModifiedBy>
  <dcterms:modified xsi:type="dcterms:W3CDTF">2020-05-11T07:13:52Z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