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EE4D">
      <w:pPr>
        <w:spacing w:line="700" w:lineRule="exact"/>
        <w:jc w:val="center"/>
        <w:outlineLvl w:val="2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6</w:t>
      </w:r>
      <w:r>
        <w:rPr>
          <w:rFonts w:eastAsia="方正小标宋简体"/>
          <w:bCs/>
          <w:sz w:val="36"/>
          <w:szCs w:val="36"/>
        </w:rPr>
        <w:t>年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农安县</w:t>
      </w:r>
      <w:r>
        <w:rPr>
          <w:rFonts w:eastAsia="方正小标宋简体"/>
          <w:bCs/>
          <w:sz w:val="36"/>
          <w:szCs w:val="36"/>
        </w:rPr>
        <w:t>国有资本经营预算收入表</w:t>
      </w:r>
    </w:p>
    <w:p w14:paraId="0763E33C">
      <w:pPr>
        <w:spacing w:line="500" w:lineRule="exact"/>
        <w:jc w:val="right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单位：万元</w:t>
      </w:r>
    </w:p>
    <w:tbl>
      <w:tblPr>
        <w:tblStyle w:val="2"/>
        <w:tblW w:w="8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1152"/>
        <w:gridCol w:w="1152"/>
        <w:gridCol w:w="1152"/>
        <w:gridCol w:w="1152"/>
      </w:tblGrid>
      <w:tr w14:paraId="1B61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25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F182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1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5BC1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</w:t>
            </w:r>
          </w:p>
          <w:p w14:paraId="51D44AE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执行数</w:t>
            </w:r>
          </w:p>
        </w:tc>
        <w:tc>
          <w:tcPr>
            <w:tcW w:w="11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BEBE55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</w:t>
            </w:r>
          </w:p>
          <w:p w14:paraId="4B194A92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11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E7672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比上年</w:t>
            </w:r>
          </w:p>
          <w:p w14:paraId="04EB9A9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增减%</w:t>
            </w:r>
          </w:p>
        </w:tc>
        <w:tc>
          <w:tcPr>
            <w:tcW w:w="11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D6846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4185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2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19D0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2FD52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E7B9F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C23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10B5F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3C16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030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一、国有资本经营收入合计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F515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5018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3698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0AE54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FB5F5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D7C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4B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（一）利润收入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AF55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0A8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22E9F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-99.97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23C4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95B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89CC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投资服务企业利润收入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ADAD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1A7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ED28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1A3D9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14E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184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农林牧渔企业利润收入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DC28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D4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9428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78F5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44F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592D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卫生体育福利企业利润收入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421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7BB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08B3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8CFA0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762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53E9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教育文化广播企业利润收入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BE0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C8309">
            <w:pPr>
              <w:widowControl/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76D9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A5F83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79E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165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机关社团所属企业利润收入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B93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910E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04AF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1BCF5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A5F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FE79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金融企业利润收入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09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3B2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F7EF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B31885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F9A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E126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其他国有资本经营预算企业利润收入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EF2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1A47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4FE2A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-99.97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AD35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426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E6E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（二）股利、股息收入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628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9A4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E602D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E77F3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4364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C2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国有控股公司股利、股息收入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C21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007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6B12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52BC00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60F7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B1C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国有参股公司股利、股息收入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54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F6E4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7AA17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5B77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683C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532E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（三）产权转让收入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E10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B1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CC4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080FC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2B32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BC1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（四）清算收入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D640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376D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F930D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-100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D9BF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0D80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4BFA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（五）其他国有资本经营预算收入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0B7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00A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7575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0FD3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54F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8AE8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二、转移性收入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A8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1B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D35D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F532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4F11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AEE0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国有资本经营预算转移支付收入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F033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817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6B6C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9A36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03B7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E33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三、上年结转收入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DD1B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C3D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58841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8A946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6C1F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F27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上年结转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6F64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97E6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D16E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36A41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3FD2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8B6A45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收 入 总 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896DEB4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AD47805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AC34588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-99.97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 w14:paraId="231933D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20289714">
      <w:pPr>
        <w:spacing w:line="580" w:lineRule="exac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1242E"/>
    <w:rsid w:val="0F5410B9"/>
    <w:rsid w:val="14934FB1"/>
    <w:rsid w:val="1DBE4848"/>
    <w:rsid w:val="3FED4E65"/>
    <w:rsid w:val="43724021"/>
    <w:rsid w:val="54DC5FD0"/>
    <w:rsid w:val="6A4E7EA8"/>
    <w:rsid w:val="74300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313</Characters>
  <Lines>12</Lines>
  <Paragraphs>3</Paragraphs>
  <TotalTime>21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2024-12-09T07:45:00Z</dcterms:created>
  <dc:creator>张轶男</dc:creator>
  <cp:lastModifiedBy>三秋树</cp:lastModifiedBy>
  <cp:lastPrinted>2024-12-10T02:18:00Z</cp:lastPrinted>
  <dcterms:modified xsi:type="dcterms:W3CDTF">2026-01-12T02:59:39Z</dcterms:modified>
  <dc:title>2025年农安县国有资本经营预算收支预算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324E26060A8040C9A126FD115A8389A0_13</vt:lpwstr>
  </property>
  <property fmtid="{D5CDD505-2E9C-101B-9397-08002B2CF9AE}" pid="4" name="KSOTemplateDocerSaveRecord">
    <vt:lpwstr>eyJoZGlkIjoiODRjY2ZhY2ViZjhiZTdjMzBlM2YyN2U4MGRhNDY4MTUiLCJ1c2VySWQiOiIxMjQ3MjgyMTkyIn0=</vt:lpwstr>
  </property>
</Properties>
</file>