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1A427">
      <w:pPr>
        <w:jc w:val="both"/>
        <w:rPr>
          <w:rFonts w:hint="eastAsia"/>
          <w:b/>
          <w:bCs/>
          <w:sz w:val="44"/>
          <w:szCs w:val="44"/>
        </w:rPr>
      </w:pPr>
    </w:p>
    <w:p w14:paraId="461C92E3">
      <w:pPr>
        <w:jc w:val="both"/>
        <w:rPr>
          <w:rFonts w:hint="eastAsia"/>
          <w:b/>
          <w:bCs/>
          <w:sz w:val="44"/>
          <w:szCs w:val="44"/>
        </w:rPr>
      </w:pPr>
    </w:p>
    <w:p w14:paraId="50AEF0F3">
      <w:pPr>
        <w:jc w:val="both"/>
        <w:rPr>
          <w:rFonts w:hint="eastAsia"/>
          <w:b/>
          <w:bCs/>
          <w:sz w:val="44"/>
          <w:szCs w:val="44"/>
        </w:rPr>
      </w:pPr>
    </w:p>
    <w:p w14:paraId="3FD2A8A8">
      <w:pPr>
        <w:jc w:val="both"/>
        <w:rPr>
          <w:rFonts w:hint="eastAsia"/>
          <w:b/>
          <w:bCs/>
          <w:sz w:val="44"/>
          <w:szCs w:val="44"/>
        </w:rPr>
      </w:pPr>
      <w:r>
        <w:rPr>
          <w:rFonts w:hint="eastAsia" w:ascii="Calibri" w:hAnsi="Calibri" w:eastAsia="宋体" w:cs="黑体"/>
          <w:b/>
          <w:bCs/>
          <w:kern w:val="2"/>
          <w:sz w:val="44"/>
          <w:szCs w:val="44"/>
          <w:lang w:val="en-US" w:eastAsia="zh-CN" w:bidi="ar-SA"/>
        </w:rPr>
        <w:pict>
          <v:shape id="艺术字 2" o:spid="_x0000_s1027" o:spt="136" type="#_x0000_t136" style="position:absolute;left:0pt;margin-left:4.65pt;margin-top:9.25pt;height:48.25pt;width:342pt;z-index:251659264;mso-width-relative:page;mso-height-relative:page;" fillcolor="#FF0000" filled="t" o:preferrelative="t" stroked="t" coordsize="21600,21600" adj="10800">
            <v:path/>
            <v:fill on="t" focussize="0,0"/>
            <v:stroke color="#FF0000" color2="#FFFFFF" miterlimit="2"/>
            <v:imagedata gain="65536f" blacklevel="0f" gamma="0" o:title=""/>
            <o:lock v:ext="edit" position="f" selection="f" grouping="f" rotation="f" cropping="f" text="f" aspectratio="f"/>
            <v:textpath on="t" fitshape="t" fitpath="t" trim="t" xscale="f" string="农安县农村合作经济经营管理总站" style="font-family:宋体;font-size:36pt;font-weight:bold;v-text-align:center;"/>
          </v:shape>
        </w:pict>
      </w:r>
    </w:p>
    <w:p w14:paraId="2AF71E6A">
      <w:pPr>
        <w:jc w:val="both"/>
        <w:rPr>
          <w:rFonts w:hint="eastAsia"/>
          <w:b/>
          <w:bCs/>
          <w:sz w:val="44"/>
          <w:szCs w:val="44"/>
        </w:rPr>
      </w:pPr>
      <w:r>
        <w:rPr>
          <w:rFonts w:hint="eastAsia" w:ascii="Calibri" w:hAnsi="Calibri" w:eastAsia="宋体" w:cs="黑体"/>
          <w:b/>
          <w:bCs/>
          <w:kern w:val="2"/>
          <w:sz w:val="44"/>
          <w:szCs w:val="44"/>
          <w:lang w:val="en-US" w:eastAsia="zh-CN" w:bidi="ar-SA"/>
        </w:rPr>
        <w:pict>
          <v:shape id="WordArt: Plain Text 4" o:spid="_x0000_s1028" o:spt="136" type="#_x0000_t136" style="position:absolute;left:0pt;margin-left:348.05pt;margin-top:6.05pt;height:50.95pt;width:95.15pt;z-index:251661312;mso-width-relative:page;mso-height-relative:page;" fillcolor="#FF0000" filled="t" o:preferrelative="t" stroked="t" coordsize="21600,21600" adj="10800">
            <v:path/>
            <v:fill on="t" focussize="0,0"/>
            <v:stroke color="#FF0000" color2="#FFFFFF" miterlimit="2"/>
            <v:imagedata gain="65536f" blacklevel="0f" gamma="0" o:title=""/>
            <o:lock v:ext="edit" position="f" selection="f" grouping="f" rotation="f" cropping="f" text="f" aspectratio="f"/>
            <v:textpath on="t" fitshape="t" fitpath="t" trim="t" xscale="f" string="文件" style="font-family:宋体;font-size:36pt;font-weight:bold;v-text-align:center;"/>
          </v:shape>
        </w:pict>
      </w:r>
    </w:p>
    <w:p w14:paraId="7F2DAFAD">
      <w:pPr>
        <w:tabs>
          <w:tab w:val="left" w:pos="6294"/>
        </w:tabs>
        <w:jc w:val="both"/>
        <w:rPr>
          <w:rFonts w:hint="default"/>
          <w:b/>
          <w:bCs/>
          <w:sz w:val="44"/>
          <w:szCs w:val="44"/>
          <w:lang w:val="en-US"/>
        </w:rPr>
      </w:pPr>
      <w:r>
        <w:rPr>
          <w:rFonts w:hint="eastAsia" w:ascii="Calibri" w:hAnsi="Calibri" w:eastAsia="宋体" w:cs="黑体"/>
          <w:b/>
          <w:bCs/>
          <w:kern w:val="2"/>
          <w:sz w:val="44"/>
          <w:szCs w:val="44"/>
          <w:lang w:val="en-US" w:eastAsia="zh-CN" w:bidi="ar-SA"/>
        </w:rPr>
        <w:pict>
          <v:shape id="艺术字 3" o:spid="_x0000_s1029" o:spt="136" type="#_x0000_t136" style="position:absolute;left:0pt;margin-left:2.45pt;margin-top:1.85pt;height:46.4pt;width:349.4pt;z-index:251660288;mso-width-relative:page;mso-height-relative:page;" fillcolor="#FF0000" filled="t" o:preferrelative="t" stroked="t" coordsize="21600,21600" adj="10800">
            <v:path/>
            <v:fill on="t" focussize="0,0"/>
            <v:stroke color="#FF0000" color2="#FFFFFF" miterlimit="2"/>
            <v:imagedata gain="65536f" blacklevel="0f" gamma="0" o:title=""/>
            <o:lock v:ext="edit" position="f" selection="f" grouping="f" rotation="f" cropping="f" text="f" aspectratio="f"/>
            <v:textpath on="t" fitshape="t" fitpath="t" trim="t" xscale="f" string="农安县财政局" style="font-family:宋体;font-size:36pt;font-weight:bold;v-text-align:center;"/>
          </v:shape>
        </w:pict>
      </w:r>
      <w:r>
        <w:rPr>
          <w:rFonts w:hint="eastAsia"/>
          <w:b/>
          <w:bCs/>
          <w:sz w:val="44"/>
          <w:szCs w:val="44"/>
          <w:lang w:eastAsia="zh-CN"/>
        </w:rPr>
        <w:tab/>
      </w:r>
      <w:r>
        <w:rPr>
          <w:rFonts w:hint="eastAsia"/>
          <w:b/>
          <w:bCs/>
          <w:sz w:val="44"/>
          <w:szCs w:val="44"/>
          <w:lang w:val="en-US" w:eastAsia="zh-CN"/>
        </w:rPr>
        <w:t xml:space="preserve">    </w:t>
      </w:r>
    </w:p>
    <w:p w14:paraId="2D24D971">
      <w:pPr>
        <w:jc w:val="center"/>
        <w:rPr>
          <w:rFonts w:hint="eastAsia"/>
          <w:b/>
          <w:bCs/>
          <w:sz w:val="44"/>
          <w:szCs w:val="44"/>
        </w:rPr>
      </w:pPr>
    </w:p>
    <w:p w14:paraId="3DDC5262">
      <w:pPr>
        <w:jc w:val="center"/>
        <w:rPr>
          <w:rFonts w:hint="eastAsia"/>
          <w:b/>
          <w:bCs/>
          <w:sz w:val="44"/>
          <w:szCs w:val="44"/>
        </w:rPr>
      </w:pPr>
    </w:p>
    <w:p w14:paraId="73DD60F5">
      <w:pPr>
        <w:jc w:val="center"/>
        <w:rPr>
          <w:rFonts w:hint="default" w:ascii="Times New Roman" w:hAnsi="Times New Roman" w:cs="Times New Roman"/>
          <w:b/>
          <w:bCs/>
          <w:sz w:val="32"/>
          <w:szCs w:val="32"/>
          <w:lang w:val="en-US" w:eastAsia="zh-CN"/>
        </w:rPr>
      </w:pPr>
      <w:r>
        <w:rPr>
          <w:rFonts w:hint="eastAsia" w:ascii="仿宋" w:hAnsi="仿宋" w:eastAsia="仿宋" w:cs="仿宋"/>
          <w:sz w:val="32"/>
          <w:szCs w:val="32"/>
        </w:rPr>
        <w:t>农农经联字</w:t>
      </w:r>
      <w:r>
        <w:rPr>
          <w:rFonts w:hint="eastAsia" w:ascii="仿宋" w:hAnsi="仿宋" w:eastAsia="仿宋" w:cs="仿宋"/>
          <w:b w:val="0"/>
          <w:bCs/>
          <w:sz w:val="32"/>
          <w:szCs w:val="32"/>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5</w:t>
      </w:r>
      <w:r>
        <w:rPr>
          <w:rFonts w:hint="eastAsia" w:ascii="仿宋" w:hAnsi="仿宋" w:eastAsia="仿宋" w:cs="仿宋"/>
          <w:sz w:val="32"/>
          <w:szCs w:val="32"/>
        </w:rPr>
        <w:t>号</w:t>
      </w:r>
    </w:p>
    <w:p w14:paraId="712536F5">
      <w:pPr>
        <w:jc w:val="center"/>
        <w:rPr>
          <w:rFonts w:hint="eastAsia"/>
          <w:b/>
          <w:bCs/>
          <w:sz w:val="44"/>
          <w:szCs w:val="44"/>
          <w:lang w:val="en-US" w:eastAsia="zh-CN"/>
        </w:rPr>
      </w:pPr>
      <w:r>
        <w:rPr>
          <w:rFonts w:hint="eastAsia" w:ascii="Calibri" w:hAnsi="Calibri" w:eastAsia="宋体" w:cs="黑体"/>
          <w:b/>
          <w:bCs/>
          <w:kern w:val="2"/>
          <w:sz w:val="36"/>
          <w:szCs w:val="36"/>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5715</wp:posOffset>
                </wp:positionV>
                <wp:extent cx="5486400" cy="7620"/>
                <wp:effectExtent l="0" t="0" r="0" b="0"/>
                <wp:wrapNone/>
                <wp:docPr id="1" name="直线 3"/>
                <wp:cNvGraphicFramePr/>
                <a:graphic xmlns:a="http://schemas.openxmlformats.org/drawingml/2006/main">
                  <a:graphicData uri="http://schemas.microsoft.com/office/word/2010/wordprocessingShape">
                    <wps:wsp>
                      <wps:cNvCnPr/>
                      <wps:spPr>
                        <a:xfrm>
                          <a:off x="0" y="0"/>
                          <a:ext cx="5486400" cy="762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75pt;margin-top:0.45pt;height:0.6pt;width:432pt;z-index:251662336;mso-width-relative:page;mso-height-relative:page;" filled="f" stroked="t" coordsize="21600,21600" o:gfxdata="UEsDBAoAAAAAAIdO4kAAAAAAAAAAAAAAAAAEAAAAZHJzL1BLAwQUAAAACACHTuJABfOmFNQAAAAF&#10;AQAADwAAAGRycy9kb3ducmV2LnhtbE2OwU7DMBBE70j8g7VI3Fo7lRpKyKZCCC5wolSVuLnxkoTE&#10;6xK7afl7lhMcRzN688r12Q9qojF2gRGyuQFFXAfXcYOwfXuarUDFZNnZITAhfFOEdXV5UdrChRO/&#10;0rRJjRIIx8IitCkdCq1j3ZK3cR4OxNJ9hNHbJHFstBvtSeB+0Atjcu1tx/LQ2gM9tFT3m6NHSPln&#10;2rn867nPtv3u3byYydw/Il5fZeYOVKJz+hvDr76oQyVO+3BkF9WAMLtZyhLhFpS0q2UucY+wyEBX&#10;pf5vX/0AUEsDBBQAAAAIAIdO4kC7kD267wEAAN4DAAAOAAAAZHJzL2Uyb0RvYy54bWytU0uS0zAQ&#10;3VPFHVTaEzthEmZccWYxIWwoSBVwgI4s26rSr9RKnJyFa7Biw3HmGrTkkBmGTRZ4IbfUrdf9XreW&#10;90ej2UEGVM7WfDopOZNWuEbZrubfvm7e3HKGEWwD2llZ85NEfr96/Wo5+ErOXO90IwMjEIvV4Gve&#10;x+irokDRSwM4cV5acrYuGIi0DV3RBBgI3ehiVpaLYnCh8cEJiUin69HJz4jhGkDXtkrItRN7I20c&#10;UYPUEIkS9sojX+Vq21aK+LltUUama05MY14pCdm7tBarJVRdAN8rcS4BrinhBScDylLSC9QaIrB9&#10;UP9AGSWCQ9fGiXCmGIlkRYjFtHyhzZcevMxcSGr0F9Hx/8GKT4dtYKqhSeDMgqGGP37/8fjzF3ub&#10;tBk8VhTyYLfhvEO/DYnosQ0m/YkCO2Y9Txc95TEyQYfzm9vFTUlSC/K9W8yy3MXTXR8wfpDOsGTU&#10;XCub2EIFh48YKR+F/glJx9qyoeZ389mcEIFGr6WWk2k8lY+2y3fRadVslNbpBoZu96ADOwC1f7Mp&#10;6UusCPevsJRkDdiPcdk1DkYvoXlvGxZPnoSx9B54KsHIhjMt6fkkiwChiqD0NZGUWluqIAk7Spms&#10;nWtO1Ia9D6rrSYlprjJ5qO253vOIprl6vs9IT8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86YU1AAAAAUBAAAPAAAAAAAAAAEAIAAAACIAAABkcnMvZG93bnJldi54bWxQSwECFAAUAAAACACH&#10;TuJAu5A9uu8BAADeAwAADgAAAAAAAAABACAAAAAjAQAAZHJzL2Uyb0RvYy54bWxQSwUGAAAAAAYA&#10;BgBZAQAAhAUAAAAA&#10;">
                <v:fill on="f" focussize="0,0"/>
                <v:stroke color="#FF0000" joinstyle="round"/>
                <v:imagedata o:title=""/>
                <o:lock v:ext="edit" aspectratio="f"/>
              </v:line>
            </w:pict>
          </mc:Fallback>
        </mc:AlternateContent>
      </w:r>
    </w:p>
    <w:p w14:paraId="20F56AFF">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2024年</w:t>
      </w:r>
      <w:r>
        <w:rPr>
          <w:rFonts w:hint="eastAsia" w:ascii="宋体" w:hAnsi="宋体" w:eastAsia="宋体" w:cs="宋体"/>
          <w:b/>
          <w:bCs/>
          <w:sz w:val="44"/>
          <w:szCs w:val="44"/>
          <w:lang w:eastAsia="zh-CN"/>
        </w:rPr>
        <w:t>中央财政农业经营主体能力提升资金</w:t>
      </w:r>
    </w:p>
    <w:p w14:paraId="22315DCA">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（农业社会化服务）项目实施方案</w:t>
      </w:r>
    </w:p>
    <w:p w14:paraId="44187C3E">
      <w:pPr>
        <w:rPr>
          <w:rFonts w:hint="eastAsia"/>
          <w:lang w:eastAsia="zh-CN"/>
        </w:rPr>
      </w:pPr>
    </w:p>
    <w:p w14:paraId="723E7866">
      <w:pPr>
        <w:rPr>
          <w:rFonts w:hint="eastAsia"/>
          <w:lang w:eastAsia="zh-CN"/>
        </w:rPr>
      </w:pPr>
    </w:p>
    <w:p w14:paraId="4E44F22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一、目标任务</w:t>
      </w:r>
    </w:p>
    <w:p w14:paraId="6D4FFF07">
      <w:pPr>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rPr>
        <w:t>按照省里要求，全县计划落实农业生产社会化</w:t>
      </w:r>
      <w:r>
        <w:rPr>
          <w:rFonts w:hint="eastAsia" w:ascii="仿宋" w:hAnsi="仿宋" w:eastAsia="仿宋" w:cs="仿宋"/>
          <w:sz w:val="32"/>
          <w:szCs w:val="32"/>
          <w:lang w:eastAsia="zh-CN"/>
        </w:rPr>
        <w:t>服务</w:t>
      </w:r>
      <w:r>
        <w:rPr>
          <w:rFonts w:hint="eastAsia" w:ascii="仿宋" w:hAnsi="仿宋" w:eastAsia="仿宋" w:cs="仿宋"/>
          <w:sz w:val="32"/>
          <w:szCs w:val="32"/>
        </w:rPr>
        <w:t>面积</w:t>
      </w:r>
      <w:r>
        <w:rPr>
          <w:rFonts w:hint="eastAsia" w:ascii="仿宋" w:hAnsi="仿宋" w:eastAsia="仿宋" w:cs="仿宋"/>
          <w:sz w:val="32"/>
          <w:szCs w:val="32"/>
          <w:lang w:val="en-US" w:eastAsia="zh-CN"/>
        </w:rPr>
        <w:t>59</w:t>
      </w:r>
      <w:r>
        <w:rPr>
          <w:rFonts w:hint="eastAsia" w:ascii="仿宋" w:hAnsi="仿宋" w:eastAsia="仿宋" w:cs="仿宋"/>
          <w:sz w:val="32"/>
          <w:szCs w:val="32"/>
        </w:rPr>
        <w:t>万亩以上，</w:t>
      </w:r>
      <w:r>
        <w:rPr>
          <w:rFonts w:hint="eastAsia" w:ascii="仿宋" w:hAnsi="仿宋" w:eastAsia="仿宋" w:cs="仿宋"/>
          <w:sz w:val="32"/>
          <w:szCs w:val="32"/>
          <w:lang w:eastAsia="zh-CN"/>
        </w:rPr>
        <w:t>农户将耕、种、防、收等单环节或者多环节委托给服务方开展农业生产托管服务，</w:t>
      </w:r>
      <w:r>
        <w:rPr>
          <w:rFonts w:hint="eastAsia" w:ascii="仿宋" w:hAnsi="仿宋" w:eastAsia="仿宋" w:cs="仿宋"/>
          <w:color w:val="000000"/>
          <w:kern w:val="0"/>
          <w:sz w:val="32"/>
          <w:szCs w:val="32"/>
        </w:rPr>
        <w:t>提高服务小农户面积和服务规模经营水平，满足新型农业经营主体和小农户对农业社会化服务的需求。</w:t>
      </w:r>
    </w:p>
    <w:p w14:paraId="64E71BE9">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二、实施内容</w:t>
      </w:r>
    </w:p>
    <w:p w14:paraId="54776CCA">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（一）支持的产业和环节。围绕玉米、水稻等大宗农作物的耕、种、防、收等进行单环节或者多环节托管。各环节所占比例是：</w:t>
      </w:r>
      <w:r>
        <w:rPr>
          <w:rFonts w:hint="eastAsia" w:ascii="仿宋" w:hAnsi="仿宋" w:eastAsia="仿宋" w:cs="仿宋"/>
          <w:color w:val="000000"/>
          <w:kern w:val="0"/>
          <w:sz w:val="32"/>
          <w:szCs w:val="32"/>
          <w:u w:val="none"/>
          <w:lang w:val="en-US" w:eastAsia="zh-CN"/>
        </w:rPr>
        <w:t>耕占比36%，种占比27%，防占比10%，收占比27%。原则上财政补助占服务价格的比例不超过30%，单季作物亩均补助总量不超过100元。</w:t>
      </w:r>
    </w:p>
    <w:p w14:paraId="4CFDCF65">
      <w:pPr>
        <w:widowControl/>
        <w:ind w:firstLine="640" w:firstLineChars="200"/>
        <w:rPr>
          <w:rFonts w:hint="eastAsia" w:ascii="仿宋" w:hAnsi="仿宋" w:eastAsia="仿宋" w:cs="仿宋"/>
          <w:color w:val="auto"/>
          <w:kern w:val="0"/>
          <w:sz w:val="32"/>
          <w:szCs w:val="32"/>
          <w:u w:val="none"/>
          <w:lang w:val="en-US" w:eastAsia="zh-CN"/>
        </w:rPr>
      </w:pPr>
      <w:r>
        <w:rPr>
          <w:rFonts w:hint="eastAsia" w:ascii="仿宋" w:hAnsi="仿宋" w:eastAsia="仿宋" w:cs="仿宋"/>
          <w:color w:val="000000"/>
          <w:kern w:val="0"/>
          <w:sz w:val="32"/>
          <w:szCs w:val="32"/>
          <w:lang w:val="en-US" w:eastAsia="zh-CN"/>
        </w:rPr>
        <w:t>（二）补助对象和方式。</w:t>
      </w:r>
      <w:r>
        <w:rPr>
          <w:rFonts w:hint="eastAsia" w:ascii="仿宋" w:hAnsi="仿宋" w:eastAsia="仿宋" w:cs="仿宋"/>
          <w:sz w:val="32"/>
          <w:szCs w:val="32"/>
        </w:rPr>
        <w:t xml:space="preserve"> </w:t>
      </w:r>
      <w:r>
        <w:rPr>
          <w:rFonts w:hint="eastAsia" w:ascii="仿宋" w:hAnsi="仿宋" w:eastAsia="仿宋" w:cs="仿宋"/>
          <w:sz w:val="32"/>
          <w:szCs w:val="32"/>
          <w:lang w:eastAsia="zh-CN"/>
        </w:rPr>
        <w:t>按照公平竞争、规范择优的方式，在县域内选择规范化、专业化、社会化的服务主体承担项目任务</w:t>
      </w:r>
      <w:r>
        <w:rPr>
          <w:rFonts w:hint="eastAsia" w:ascii="仿宋" w:hAnsi="仿宋" w:eastAsia="仿宋" w:cs="仿宋"/>
          <w:sz w:val="32"/>
          <w:szCs w:val="32"/>
        </w:rPr>
        <w:t>。</w:t>
      </w:r>
      <w:r>
        <w:rPr>
          <w:rFonts w:hint="eastAsia" w:ascii="仿宋" w:hAnsi="仿宋" w:eastAsia="仿宋" w:cs="仿宋"/>
          <w:sz w:val="32"/>
          <w:szCs w:val="32"/>
          <w:lang w:eastAsia="zh-CN"/>
        </w:rPr>
        <w:t>承担项目的服务主体应具备一定条件：</w:t>
      </w:r>
      <w:r>
        <w:rPr>
          <w:rFonts w:hint="eastAsia" w:ascii="仿宋" w:hAnsi="仿宋" w:eastAsia="仿宋" w:cs="仿宋"/>
          <w:sz w:val="32"/>
          <w:szCs w:val="32"/>
          <w:lang w:val="en-US" w:eastAsia="zh-CN"/>
        </w:rPr>
        <w:t>1.具有农业社会化服务实践经验，从事社会化服务一年以上（2023年7月31日前成立）。2.拥有与其服务业务范围、服务能力相匹配的专业农业机械设备、技术人员以及其他基础条件。3.在农民群众中享有良好的信誉，所提供的服务在质量和价格方面受到服务对象的普遍认可。4.自觉接受农业社会化服务行业管理部门的监督，纳入服务主体名录库管理。</w:t>
      </w:r>
      <w:r>
        <w:rPr>
          <w:rFonts w:hint="eastAsia" w:ascii="仿宋" w:hAnsi="仿宋" w:eastAsia="仿宋" w:cs="仿宋"/>
          <w:color w:val="auto"/>
          <w:sz w:val="32"/>
          <w:szCs w:val="32"/>
          <w:lang w:val="en-US" w:eastAsia="zh-CN"/>
        </w:rPr>
        <w:t>主要支持2个环节以上项目任务的服务主体，2个环节以上项目主体没有达到项目任务数的，由单环节项目主体补充，鼓励服务主体跨区域开展服务。对整村推进、整屯推进的，适当提高补贴比例。</w:t>
      </w:r>
      <w:r>
        <w:rPr>
          <w:rFonts w:hint="eastAsia" w:ascii="仿宋" w:hAnsi="仿宋" w:eastAsia="仿宋" w:cs="仿宋"/>
          <w:color w:val="auto"/>
          <w:kern w:val="0"/>
          <w:sz w:val="32"/>
          <w:szCs w:val="32"/>
        </w:rPr>
        <w:t>将作业监测终端监测数据作为作业补助面积核定和相关补贴资金发放的</w:t>
      </w:r>
      <w:r>
        <w:rPr>
          <w:rFonts w:hint="eastAsia" w:ascii="仿宋" w:hAnsi="仿宋" w:eastAsia="仿宋" w:cs="仿宋"/>
          <w:color w:val="auto"/>
          <w:kern w:val="0"/>
          <w:sz w:val="32"/>
          <w:szCs w:val="32"/>
          <w:lang w:eastAsia="zh-CN"/>
        </w:rPr>
        <w:t>重要</w:t>
      </w:r>
      <w:r>
        <w:rPr>
          <w:rFonts w:hint="eastAsia" w:ascii="仿宋" w:hAnsi="仿宋" w:eastAsia="仿宋" w:cs="仿宋"/>
          <w:color w:val="auto"/>
          <w:kern w:val="0"/>
          <w:sz w:val="32"/>
          <w:szCs w:val="32"/>
        </w:rPr>
        <w:t>依据</w:t>
      </w:r>
      <w:r>
        <w:rPr>
          <w:rFonts w:hint="eastAsia" w:ascii="仿宋" w:hAnsi="仿宋" w:eastAsia="仿宋" w:cs="仿宋"/>
          <w:color w:val="auto"/>
          <w:kern w:val="0"/>
          <w:sz w:val="32"/>
          <w:szCs w:val="32"/>
          <w:lang w:val="en-US" w:eastAsia="zh-CN"/>
        </w:rPr>
        <w:t>。</w:t>
      </w:r>
      <w:r>
        <w:rPr>
          <w:rFonts w:hint="eastAsia" w:ascii="仿宋" w:hAnsi="仿宋" w:eastAsia="仿宋" w:cs="仿宋"/>
          <w:color w:val="000000"/>
          <w:kern w:val="0"/>
          <w:sz w:val="32"/>
          <w:szCs w:val="32"/>
        </w:rPr>
        <w:t>采取先服务后补助的方式</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农业生产环节实施完毕</w:t>
      </w:r>
      <w:r>
        <w:rPr>
          <w:rFonts w:hint="eastAsia" w:ascii="仿宋" w:hAnsi="仿宋" w:eastAsia="仿宋" w:cs="仿宋"/>
          <w:color w:val="000000"/>
          <w:kern w:val="0"/>
          <w:sz w:val="32"/>
          <w:szCs w:val="32"/>
          <w:lang w:eastAsia="zh-CN"/>
        </w:rPr>
        <w:t>并验收合格后，信息公开公示到项目所</w:t>
      </w:r>
      <w:r>
        <w:rPr>
          <w:rFonts w:hint="eastAsia" w:ascii="仿宋" w:hAnsi="仿宋" w:eastAsia="仿宋" w:cs="仿宋"/>
          <w:color w:val="auto"/>
          <w:kern w:val="0"/>
          <w:sz w:val="32"/>
          <w:szCs w:val="32"/>
          <w:lang w:eastAsia="zh-CN"/>
        </w:rPr>
        <w:t>在的乡镇、村，</w:t>
      </w:r>
      <w:r>
        <w:rPr>
          <w:rFonts w:hint="eastAsia" w:ascii="仿宋" w:hAnsi="仿宋" w:eastAsia="仿宋" w:cs="仿宋"/>
          <w:sz w:val="32"/>
          <w:szCs w:val="32"/>
        </w:rPr>
        <w:t>公示无异议</w:t>
      </w:r>
      <w:r>
        <w:rPr>
          <w:rFonts w:hint="eastAsia" w:ascii="仿宋" w:hAnsi="仿宋" w:eastAsia="仿宋" w:cs="仿宋"/>
          <w:sz w:val="32"/>
          <w:szCs w:val="32"/>
          <w:lang w:eastAsia="zh-CN"/>
        </w:rPr>
        <w:t>后</w:t>
      </w:r>
      <w:r>
        <w:rPr>
          <w:rFonts w:hint="eastAsia" w:ascii="仿宋" w:hAnsi="仿宋" w:eastAsia="仿宋" w:cs="仿宋"/>
          <w:sz w:val="32"/>
          <w:szCs w:val="32"/>
        </w:rPr>
        <w:t>，按</w:t>
      </w:r>
      <w:r>
        <w:rPr>
          <w:rFonts w:hint="eastAsia" w:ascii="仿宋" w:hAnsi="仿宋" w:eastAsia="仿宋" w:cs="仿宋"/>
          <w:sz w:val="32"/>
          <w:szCs w:val="32"/>
          <w:lang w:eastAsia="zh-CN"/>
        </w:rPr>
        <w:t>服务合同实际服务量或监测数据进行补助</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县域内，相同作物、相</w:t>
      </w:r>
      <w:r>
        <w:rPr>
          <w:rFonts w:hint="eastAsia" w:ascii="仿宋" w:hAnsi="仿宋" w:eastAsia="仿宋" w:cs="仿宋"/>
          <w:color w:val="auto"/>
          <w:kern w:val="0"/>
          <w:sz w:val="32"/>
          <w:szCs w:val="32"/>
          <w:lang w:eastAsia="zh-CN"/>
        </w:rPr>
        <w:t>同环节的服务，补助标准和补助方式应统一。</w:t>
      </w:r>
      <w:r>
        <w:rPr>
          <w:rFonts w:hint="eastAsia" w:ascii="仿宋" w:hAnsi="仿宋" w:eastAsia="仿宋" w:cs="仿宋"/>
          <w:color w:val="auto"/>
          <w:kern w:val="0"/>
          <w:sz w:val="32"/>
          <w:szCs w:val="32"/>
          <w:u w:val="none"/>
          <w:lang w:eastAsia="zh-CN"/>
        </w:rPr>
        <w:t>鼓励服务主体通过降低服务价格方式提前补贴小农户，对于降低服务价格高（或等）于</w:t>
      </w:r>
      <w:r>
        <w:rPr>
          <w:rFonts w:hint="eastAsia" w:ascii="仿宋" w:hAnsi="仿宋" w:eastAsia="仿宋" w:cs="仿宋"/>
          <w:color w:val="auto"/>
          <w:kern w:val="0"/>
          <w:sz w:val="32"/>
          <w:szCs w:val="32"/>
          <w:u w:val="none"/>
          <w:lang w:val="en-US" w:eastAsia="zh-CN"/>
        </w:rPr>
        <w:t>农安县农业生产社会化服务环节服务费用指导价格表40%的，</w:t>
      </w:r>
      <w:r>
        <w:rPr>
          <w:rFonts w:hint="eastAsia" w:ascii="仿宋" w:hAnsi="仿宋" w:eastAsia="仿宋" w:cs="仿宋"/>
          <w:color w:val="auto"/>
          <w:kern w:val="0"/>
          <w:sz w:val="32"/>
          <w:szCs w:val="32"/>
          <w:u w:val="none"/>
          <w:lang w:eastAsia="zh-CN"/>
        </w:rPr>
        <w:t>项目资金</w:t>
      </w:r>
      <w:r>
        <w:rPr>
          <w:rFonts w:hint="eastAsia" w:ascii="仿宋" w:hAnsi="仿宋" w:eastAsia="仿宋" w:cs="仿宋"/>
          <w:color w:val="auto"/>
          <w:kern w:val="0"/>
          <w:sz w:val="32"/>
          <w:szCs w:val="32"/>
          <w:u w:val="none"/>
          <w:lang w:val="en-US" w:eastAsia="zh-CN"/>
        </w:rPr>
        <w:t>补贴给服务主体；</w:t>
      </w:r>
      <w:r>
        <w:rPr>
          <w:rFonts w:hint="eastAsia" w:ascii="仿宋" w:hAnsi="仿宋" w:eastAsia="仿宋" w:cs="仿宋"/>
          <w:color w:val="auto"/>
          <w:kern w:val="0"/>
          <w:sz w:val="32"/>
          <w:szCs w:val="32"/>
          <w:u w:val="none"/>
          <w:lang w:eastAsia="zh-CN"/>
        </w:rPr>
        <w:t>降低服务价格低于</w:t>
      </w:r>
      <w:r>
        <w:rPr>
          <w:rFonts w:hint="eastAsia" w:ascii="仿宋" w:hAnsi="仿宋" w:eastAsia="仿宋" w:cs="仿宋"/>
          <w:color w:val="auto"/>
          <w:kern w:val="0"/>
          <w:sz w:val="32"/>
          <w:szCs w:val="32"/>
          <w:u w:val="none"/>
          <w:lang w:val="en-US" w:eastAsia="zh-CN"/>
        </w:rPr>
        <w:t>农安县农业生产社会化服务环节服务费用指导价格表40%的，</w:t>
      </w:r>
      <w:r>
        <w:rPr>
          <w:rFonts w:hint="eastAsia" w:ascii="仿宋" w:hAnsi="仿宋" w:eastAsia="仿宋" w:cs="仿宋"/>
          <w:color w:val="auto"/>
          <w:kern w:val="0"/>
          <w:sz w:val="32"/>
          <w:szCs w:val="32"/>
          <w:u w:val="none"/>
          <w:lang w:eastAsia="zh-CN"/>
        </w:rPr>
        <w:t>项目资金的</w:t>
      </w:r>
      <w:r>
        <w:rPr>
          <w:rFonts w:hint="eastAsia" w:ascii="仿宋" w:hAnsi="仿宋" w:eastAsia="仿宋" w:cs="仿宋"/>
          <w:color w:val="auto"/>
          <w:kern w:val="0"/>
          <w:sz w:val="32"/>
          <w:szCs w:val="32"/>
          <w:u w:val="none"/>
          <w:lang w:val="en-US" w:eastAsia="zh-CN"/>
        </w:rPr>
        <w:t>40%</w:t>
      </w:r>
      <w:r>
        <w:rPr>
          <w:rFonts w:hint="eastAsia" w:ascii="仿宋" w:hAnsi="仿宋" w:eastAsia="仿宋" w:cs="仿宋"/>
          <w:color w:val="auto"/>
          <w:kern w:val="0"/>
          <w:sz w:val="32"/>
          <w:szCs w:val="32"/>
          <w:u w:val="none"/>
          <w:lang w:eastAsia="zh-CN"/>
        </w:rPr>
        <w:t>直接</w:t>
      </w:r>
      <w:r>
        <w:rPr>
          <w:rFonts w:hint="eastAsia" w:ascii="仿宋" w:hAnsi="仿宋" w:eastAsia="仿宋" w:cs="仿宋"/>
          <w:color w:val="auto"/>
          <w:kern w:val="0"/>
          <w:sz w:val="32"/>
          <w:szCs w:val="32"/>
          <w:u w:val="none"/>
          <w:lang w:val="en-US" w:eastAsia="zh-CN"/>
        </w:rPr>
        <w:t>补贴给</w:t>
      </w:r>
      <w:r>
        <w:rPr>
          <w:rFonts w:hint="eastAsia" w:ascii="仿宋" w:hAnsi="仿宋" w:eastAsia="仿宋" w:cs="仿宋"/>
          <w:color w:val="auto"/>
          <w:kern w:val="0"/>
          <w:sz w:val="32"/>
          <w:szCs w:val="32"/>
          <w:u w:val="none"/>
          <w:lang w:eastAsia="zh-CN"/>
        </w:rPr>
        <w:t>小农户，</w:t>
      </w:r>
      <w:r>
        <w:rPr>
          <w:rFonts w:hint="eastAsia" w:ascii="仿宋" w:hAnsi="仿宋" w:eastAsia="仿宋" w:cs="仿宋"/>
          <w:color w:val="auto"/>
          <w:kern w:val="0"/>
          <w:sz w:val="32"/>
          <w:szCs w:val="32"/>
          <w:u w:val="none"/>
          <w:lang w:val="en-US" w:eastAsia="zh-CN"/>
        </w:rPr>
        <w:t>60%补贴给服务主体。</w:t>
      </w:r>
    </w:p>
    <w:p w14:paraId="74C652BA">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kern w:val="0"/>
          <w:sz w:val="32"/>
          <w:szCs w:val="32"/>
          <w:u w:val="none"/>
          <w:lang w:eastAsia="zh-CN"/>
        </w:rPr>
        <w:t>安排服务小农户（土地经营规模不超过当地户均承包地面</w:t>
      </w:r>
      <w:r>
        <w:rPr>
          <w:rFonts w:hint="eastAsia" w:ascii="仿宋" w:hAnsi="仿宋" w:eastAsia="仿宋" w:cs="仿宋"/>
          <w:color w:val="000000"/>
          <w:kern w:val="0"/>
          <w:sz w:val="32"/>
          <w:szCs w:val="32"/>
          <w:u w:val="none"/>
          <w:lang w:eastAsia="zh-CN"/>
        </w:rPr>
        <w:t>积</w:t>
      </w:r>
      <w:r>
        <w:rPr>
          <w:rFonts w:hint="eastAsia" w:ascii="仿宋" w:hAnsi="仿宋" w:eastAsia="仿宋" w:cs="仿宋"/>
          <w:color w:val="000000"/>
          <w:kern w:val="0"/>
          <w:sz w:val="32"/>
          <w:szCs w:val="32"/>
          <w:u w:val="none"/>
          <w:lang w:val="en-US" w:eastAsia="zh-CN"/>
        </w:rPr>
        <w:t>10倍的农业经营户</w:t>
      </w:r>
      <w:r>
        <w:rPr>
          <w:rFonts w:hint="eastAsia" w:ascii="仿宋" w:hAnsi="仿宋" w:eastAsia="仿宋" w:cs="仿宋"/>
          <w:color w:val="000000"/>
          <w:kern w:val="0"/>
          <w:sz w:val="32"/>
          <w:szCs w:val="32"/>
          <w:u w:val="none"/>
          <w:lang w:eastAsia="zh-CN"/>
        </w:rPr>
        <w:t>）的补助金额或面积，占比应高于</w:t>
      </w:r>
      <w:r>
        <w:rPr>
          <w:rFonts w:hint="eastAsia" w:ascii="仿宋" w:hAnsi="仿宋" w:eastAsia="仿宋" w:cs="仿宋"/>
          <w:color w:val="000000"/>
          <w:kern w:val="0"/>
          <w:sz w:val="32"/>
          <w:szCs w:val="32"/>
          <w:u w:val="none"/>
          <w:lang w:val="en-US" w:eastAsia="zh-CN"/>
        </w:rPr>
        <w:t>60%。</w:t>
      </w:r>
      <w:r>
        <w:rPr>
          <w:rFonts w:hint="eastAsia" w:ascii="仿宋" w:hAnsi="仿宋" w:eastAsia="仿宋" w:cs="仿宋"/>
          <w:color w:val="000000"/>
          <w:kern w:val="0"/>
          <w:sz w:val="32"/>
          <w:szCs w:val="32"/>
          <w:u w:val="none"/>
          <w:lang w:eastAsia="zh-CN"/>
        </w:rPr>
        <w:t>单环节和多环节</w:t>
      </w:r>
      <w:r>
        <w:rPr>
          <w:rFonts w:hint="eastAsia" w:ascii="仿宋" w:hAnsi="仿宋" w:eastAsia="仿宋" w:cs="仿宋"/>
          <w:color w:val="000000"/>
          <w:kern w:val="0"/>
          <w:sz w:val="32"/>
          <w:szCs w:val="32"/>
          <w:u w:val="none"/>
          <w:lang w:val="en-US" w:eastAsia="zh-CN"/>
        </w:rPr>
        <w:t>300亩以上具备申报资格</w:t>
      </w:r>
      <w:r>
        <w:rPr>
          <w:rFonts w:hint="eastAsia" w:ascii="仿宋" w:hAnsi="仿宋" w:eastAsia="仿宋" w:cs="仿宋"/>
          <w:color w:val="000000"/>
          <w:kern w:val="0"/>
          <w:sz w:val="32"/>
          <w:szCs w:val="32"/>
          <w:lang w:val="en-US" w:eastAsia="zh-CN"/>
        </w:rPr>
        <w:t>，</w:t>
      </w:r>
      <w:r>
        <w:rPr>
          <w:rFonts w:hint="eastAsia" w:ascii="仿宋" w:hAnsi="仿宋" w:eastAsia="仿宋" w:cs="仿宋"/>
          <w:sz w:val="32"/>
          <w:szCs w:val="32"/>
          <w:lang w:eastAsia="zh-CN"/>
        </w:rPr>
        <w:t>单个服务主体补助额度不超过</w:t>
      </w:r>
      <w:r>
        <w:rPr>
          <w:rFonts w:hint="eastAsia" w:ascii="仿宋" w:hAnsi="仿宋" w:eastAsia="仿宋" w:cs="仿宋"/>
          <w:sz w:val="32"/>
          <w:szCs w:val="32"/>
          <w:lang w:val="en-US" w:eastAsia="zh-CN"/>
        </w:rPr>
        <w:t>50万元，防止垒大户。</w:t>
      </w:r>
    </w:p>
    <w:p w14:paraId="28FBFC76">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（三）服务标准。</w:t>
      </w:r>
      <w:r>
        <w:rPr>
          <w:rFonts w:hint="eastAsia" w:ascii="仿宋" w:hAnsi="仿宋" w:eastAsia="仿宋" w:cs="仿宋"/>
          <w:sz w:val="32"/>
          <w:szCs w:val="32"/>
          <w:lang w:eastAsia="zh-CN"/>
        </w:rPr>
        <w:t>农安县农村合作经济经营管理总站要制定农业社会化服务标准、技术规范。制定指导性服务价格，及时向社会发布。推广使用全省标准服务合同文本，加强对服务标准、服务价格、服务合同的指导和监督。将承担项目的服务主体全部纳入名录库管理，实行动态监测，及时报省级备案。</w:t>
      </w:r>
      <w:r>
        <w:rPr>
          <w:rFonts w:hint="eastAsia" w:ascii="仿宋" w:hAnsi="仿宋" w:eastAsia="仿宋" w:cs="仿宋"/>
          <w:sz w:val="32"/>
          <w:szCs w:val="32"/>
          <w:lang w:val="en-US" w:eastAsia="zh-CN"/>
        </w:rPr>
        <w:t xml:space="preserve"> </w:t>
      </w:r>
    </w:p>
    <w:p w14:paraId="5A35018A">
      <w:pPr>
        <w:widowControl/>
        <w:ind w:firstLine="640" w:firstLineChars="200"/>
        <w:rPr>
          <w:rFonts w:hint="eastAsia" w:ascii="仿宋" w:hAnsi="仿宋" w:eastAsia="仿宋" w:cs="仿宋"/>
          <w:b w:val="0"/>
          <w:bCs/>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b w:val="0"/>
          <w:bCs/>
          <w:sz w:val="32"/>
          <w:szCs w:val="32"/>
          <w:lang w:eastAsia="zh-CN"/>
        </w:rPr>
        <w:t>监管措施</w:t>
      </w:r>
    </w:p>
    <w:p w14:paraId="6CAA7EA8">
      <w:pPr>
        <w:ind w:firstLine="64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科学制定方案。农安县农村合作经济经营管理总站牵头编制实施方案，根据省级项目指南细化工作任务，明确具体目标任务、补助对象、补助标准、补助上限、监管措施等，制定好本级实施方案，报同级政府审定后执行，并报省农业农村厅、财政厅备案。</w:t>
      </w:r>
    </w:p>
    <w:p w14:paraId="0DDCFAAF">
      <w:pPr>
        <w:ind w:firstLine="64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强化资金使用监管。要依法依规管理使用财政资金。严格落实以下要求：1.不得用于列支农业农村部门工作经费、项目支出、培训经费等。2.服务主体不得将承担的项目任务再行转包，对其自营土地的作业不得纳入补助范围。3.服务主体之间不得通过相互提供交叉作业服务获取补助资金。4.不得受理以中介机构名义直接代理申报的资金项目，不得将财政补助资金用于支付中介费用。</w:t>
      </w:r>
    </w:p>
    <w:p w14:paraId="4B281AD4">
      <w:pPr>
        <w:ind w:firstLine="640"/>
        <w:rPr>
          <w:rFonts w:hint="default"/>
          <w:lang w:val="en-US" w:eastAsia="zh-CN"/>
        </w:rPr>
      </w:pPr>
      <w:r>
        <w:rPr>
          <w:rFonts w:hint="eastAsia" w:ascii="仿宋" w:hAnsi="仿宋" w:eastAsia="仿宋" w:cs="仿宋"/>
          <w:b w:val="0"/>
          <w:bCs/>
          <w:sz w:val="32"/>
          <w:szCs w:val="32"/>
          <w:lang w:val="en-US" w:eastAsia="zh-CN"/>
        </w:rPr>
        <w:t>（三）强化项目管控。农安县农村合作经济经营管理总站负责实施方案编制、组织实施和监督等工作。按照安排的项目任务，对资金分配、主体遴选、服务成效、日常管理等负责监管。要采取资料抽查、实地查验、走访查询、电话回访等形式，指导和抽查农民合作社等服务主体项目任务执行情况。要通过各种渠道宣传解读惠农政策，会同</w:t>
      </w:r>
      <w:r>
        <w:rPr>
          <w:rFonts w:hint="eastAsia" w:ascii="仿宋" w:hAnsi="仿宋" w:eastAsia="仿宋" w:cs="仿宋"/>
          <w:b w:val="0"/>
          <w:bCs/>
          <w:color w:val="auto"/>
          <w:sz w:val="32"/>
          <w:szCs w:val="32"/>
          <w:lang w:val="en-US" w:eastAsia="zh-CN"/>
        </w:rPr>
        <w:t>乡镇政府</w:t>
      </w:r>
      <w:r>
        <w:rPr>
          <w:rFonts w:hint="eastAsia" w:ascii="仿宋" w:hAnsi="仿宋" w:eastAsia="仿宋" w:cs="仿宋"/>
          <w:b w:val="0"/>
          <w:bCs/>
          <w:sz w:val="32"/>
          <w:szCs w:val="32"/>
          <w:lang w:val="en-US" w:eastAsia="zh-CN"/>
        </w:rPr>
        <w:t>将项目方案、实施内容、主体遴选条件和结果、项目验收结果、财政补助对象和补助资金等信息公开公示到项目所在的乡镇、村，广泛接受社会监督。</w:t>
      </w:r>
    </w:p>
    <w:p w14:paraId="681CD4A4">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四、项目实施流程</w:t>
      </w:r>
    </w:p>
    <w:p w14:paraId="3A2EA2F8">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（一）项目准备阶段</w:t>
      </w:r>
    </w:p>
    <w:p w14:paraId="3B15F372">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县农村合作经济经营管理总站会同县财政局制定项目实施方案，公开公示后实施。</w:t>
      </w:r>
    </w:p>
    <w:p w14:paraId="32AD6897">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（二）项目实施阶段</w:t>
      </w:r>
    </w:p>
    <w:p w14:paraId="03CC7483">
      <w:pPr>
        <w:widowControl/>
        <w:ind w:firstLine="640" w:firstLineChars="200"/>
        <w:rPr>
          <w:rFonts w:hint="eastAsia" w:ascii="仿宋" w:hAnsi="仿宋" w:eastAsia="仿宋" w:cs="仿宋"/>
          <w:strike w:val="0"/>
          <w:sz w:val="32"/>
          <w:szCs w:val="32"/>
          <w:highlight w:val="none"/>
          <w:lang w:val="en-US" w:eastAsia="zh-CN"/>
        </w:rPr>
      </w:pPr>
      <w:r>
        <w:rPr>
          <w:rFonts w:hint="eastAsia" w:ascii="仿宋" w:hAnsi="仿宋" w:eastAsia="仿宋" w:cs="仿宋"/>
          <w:sz w:val="32"/>
          <w:szCs w:val="32"/>
          <w:lang w:val="en-US" w:eastAsia="zh-CN"/>
        </w:rPr>
        <w:t>1、选定服务主体。召开各乡镇农经站长会，部署落实此项工作，</w:t>
      </w:r>
      <w:r>
        <w:rPr>
          <w:rFonts w:hint="eastAsia" w:ascii="仿宋" w:hAnsi="仿宋" w:eastAsia="仿宋" w:cs="仿宋"/>
          <w:sz w:val="32"/>
          <w:szCs w:val="32"/>
          <w:lang w:eastAsia="zh-CN"/>
        </w:rPr>
        <w:t>按照公平竞争、规范择优的方式，服务主体应具备方案中的条件</w:t>
      </w:r>
      <w:r>
        <w:rPr>
          <w:rFonts w:hint="eastAsia" w:ascii="仿宋" w:hAnsi="仿宋" w:eastAsia="仿宋" w:cs="仿宋"/>
          <w:sz w:val="32"/>
          <w:szCs w:val="32"/>
          <w:lang w:val="en-US" w:eastAsia="zh-CN"/>
        </w:rPr>
        <w:t>，所在的乡镇、村进行公开公示后，按照要求签订服务合同，乡镇确保合同真实有效，并在乡镇备案，备案后组织项目实施。</w:t>
      </w:r>
      <w:r>
        <w:rPr>
          <w:rFonts w:hint="eastAsia" w:ascii="仿宋" w:hAnsi="仿宋" w:eastAsia="仿宋" w:cs="仿宋"/>
          <w:strike w:val="0"/>
          <w:dstrike w:val="0"/>
          <w:sz w:val="32"/>
          <w:szCs w:val="32"/>
          <w:highlight w:val="none"/>
          <w:lang w:val="en-US" w:eastAsia="zh-CN"/>
        </w:rPr>
        <w:t>（2024年9月28日前）</w:t>
      </w:r>
    </w:p>
    <w:p w14:paraId="7C80134E">
      <w:pPr>
        <w:widowControl/>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2、推进项目实施。召开乡镇工作会议，部署此项工作，确保完成任务目标，要求各乡镇指导服务主体如期完成作业任务，核实作业面积。</w:t>
      </w:r>
      <w:r>
        <w:rPr>
          <w:rFonts w:hint="eastAsia" w:ascii="仿宋" w:hAnsi="仿宋" w:eastAsia="仿宋" w:cs="仿宋"/>
          <w:strike w:val="0"/>
          <w:dstrike w:val="0"/>
          <w:color w:val="auto"/>
          <w:sz w:val="32"/>
          <w:szCs w:val="32"/>
          <w:highlight w:val="none"/>
          <w:lang w:val="en-US" w:eastAsia="zh-CN"/>
        </w:rPr>
        <w:t>（2024年11月15日前）</w:t>
      </w:r>
    </w:p>
    <w:p w14:paraId="4A2C5F9E">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（三）项目验收阶段</w:t>
      </w:r>
    </w:p>
    <w:p w14:paraId="3D418329">
      <w:pPr>
        <w:widowControl/>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农安县农村合作经济经营管理总站组织各乡镇验收，由各乡镇人民政府出具验收结果，县农村合作经济经营管理总站按比例进行抽查复核，并根据复核情况形成总结验收报告，在项目所在的乡镇、村进行公开公示。（2024年11月30日前）</w:t>
      </w:r>
    </w:p>
    <w:p w14:paraId="57C57883">
      <w:pPr>
        <w:widowControl/>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（四）资金拨付阶段</w:t>
      </w:r>
    </w:p>
    <w:p w14:paraId="741B73EF">
      <w:pPr>
        <w:widowControl/>
        <w:numPr>
          <w:ilvl w:val="0"/>
          <w:numId w:val="0"/>
        </w:numPr>
        <w:ind w:firstLine="640" w:firstLineChars="200"/>
        <w:rPr>
          <w:rFonts w:hint="eastAsia" w:ascii="仿宋" w:hAnsi="仿宋" w:eastAsia="仿宋" w:cs="仿宋"/>
          <w:sz w:val="32"/>
          <w:szCs w:val="32"/>
          <w:highlight w:val="cyan"/>
          <w:lang w:val="en-US" w:eastAsia="zh-CN"/>
        </w:rPr>
      </w:pPr>
      <w:r>
        <w:rPr>
          <w:rFonts w:hint="eastAsia" w:ascii="仿宋" w:hAnsi="仿宋" w:eastAsia="仿宋" w:cs="仿宋"/>
          <w:sz w:val="32"/>
          <w:szCs w:val="32"/>
          <w:highlight w:val="none"/>
          <w:lang w:val="en-US" w:eastAsia="zh-CN"/>
        </w:rPr>
        <w:t>乡镇验收及农安县农村合作经济经营管理总站复核后，各乡镇及时汇总上报有关资料，由农安县农村合作经济经营管理总站统一汇总后，向县财政局提出资金申请，并报送资金申请相关材料，县财政局审核通过后予以兑付资金。</w:t>
      </w:r>
    </w:p>
    <w:p w14:paraId="4FFDF437">
      <w:pPr>
        <w:widowControl/>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sz w:val="32"/>
          <w:szCs w:val="32"/>
          <w:lang w:val="en-US" w:eastAsia="zh-CN"/>
        </w:rPr>
        <w:t>（五）总结和绩效。</w:t>
      </w:r>
      <w:r>
        <w:rPr>
          <w:rFonts w:hint="eastAsia" w:ascii="仿宋" w:hAnsi="仿宋" w:eastAsia="仿宋" w:cs="仿宋"/>
          <w:color w:val="000000"/>
          <w:kern w:val="0"/>
          <w:sz w:val="32"/>
          <w:szCs w:val="32"/>
        </w:rPr>
        <w:t>按时报送实施方案、项目备案汇总表、绩效自评材料和项目总结。建立项目档案，做好相关项目文件材料留存归档</w:t>
      </w:r>
      <w:r>
        <w:rPr>
          <w:rFonts w:hint="eastAsia" w:ascii="仿宋" w:hAnsi="仿宋" w:eastAsia="仿宋" w:cs="仿宋"/>
          <w:color w:val="000000"/>
          <w:kern w:val="0"/>
          <w:sz w:val="32"/>
          <w:szCs w:val="32"/>
          <w:lang w:eastAsia="zh-CN"/>
        </w:rPr>
        <w:t>，及时填报农业农村转移支付平台。</w:t>
      </w:r>
    </w:p>
    <w:p w14:paraId="0A61CAA4">
      <w:pPr>
        <w:widowControl/>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五、保障措施</w:t>
      </w:r>
    </w:p>
    <w:p w14:paraId="61394B52">
      <w:pPr>
        <w:widowControl/>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为使此项工作有效落实，成立工作领导小组。组长：张泽</w:t>
      </w:r>
      <w:r>
        <w:rPr>
          <w:rFonts w:hint="eastAsia" w:ascii="仿宋" w:hAnsi="仿宋" w:eastAsia="仿宋" w:cs="仿宋"/>
          <w:color w:val="000000"/>
          <w:kern w:val="0"/>
          <w:sz w:val="32"/>
          <w:szCs w:val="32"/>
          <w:lang w:val="en-US" w:eastAsia="zh-CN"/>
        </w:rPr>
        <w:t xml:space="preserve">  副组长：董梅音  各乡镇主管项目领导  组员：农安县农村合作经济经营管理总站政研科负责人 ， 各乡镇项目负责人。及时召开项目宣传培训会，开展督促指导，确保项目及时有效完成，做到资金及时拨付到服务主体。 </w:t>
      </w:r>
    </w:p>
    <w:p w14:paraId="1DFFB3FB">
      <w:pPr>
        <w:widowControl/>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w:t>
      </w:r>
    </w:p>
    <w:p w14:paraId="2DBE3B1C">
      <w:pPr>
        <w:widowControl/>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附件： 农安县农业生产社会化服务环节服务费用价格表 </w:t>
      </w:r>
    </w:p>
    <w:p w14:paraId="539799CF">
      <w:pPr>
        <w:widowControl/>
        <w:rPr>
          <w:rFonts w:hint="eastAsia" w:ascii="仿宋" w:hAnsi="仿宋" w:eastAsia="仿宋" w:cs="仿宋"/>
          <w:color w:val="000000"/>
          <w:kern w:val="0"/>
          <w:sz w:val="32"/>
          <w:szCs w:val="32"/>
          <w:lang w:val="en-US" w:eastAsia="zh-CN"/>
        </w:rPr>
      </w:pPr>
    </w:p>
    <w:p w14:paraId="1E9779CD">
      <w:pPr>
        <w:widowControl/>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w:t>
      </w:r>
    </w:p>
    <w:p w14:paraId="2E8F812A">
      <w:pPr>
        <w:widowControl/>
        <w:rPr>
          <w:rFonts w:hint="eastAsia" w:ascii="仿宋" w:hAnsi="仿宋" w:eastAsia="仿宋" w:cs="仿宋"/>
          <w:color w:val="000000"/>
          <w:kern w:val="0"/>
          <w:sz w:val="32"/>
          <w:szCs w:val="32"/>
          <w:lang w:val="en-US" w:eastAsia="zh-CN"/>
        </w:rPr>
      </w:pPr>
    </w:p>
    <w:p w14:paraId="4FB3E9AE">
      <w:pPr>
        <w:widowControl/>
        <w:rPr>
          <w:rFonts w:hint="eastAsia" w:ascii="仿宋" w:hAnsi="仿宋" w:eastAsia="仿宋" w:cs="仿宋"/>
          <w:color w:val="000000"/>
          <w:kern w:val="0"/>
          <w:sz w:val="32"/>
          <w:szCs w:val="32"/>
          <w:lang w:val="en-US" w:eastAsia="zh-CN"/>
        </w:rPr>
      </w:pPr>
    </w:p>
    <w:p w14:paraId="66E9D443">
      <w:pPr>
        <w:widowControl/>
        <w:rPr>
          <w:rFonts w:hint="eastAsia" w:ascii="仿宋" w:hAnsi="仿宋" w:eastAsia="仿宋" w:cs="仿宋"/>
          <w:color w:val="000000"/>
          <w:kern w:val="0"/>
          <w:sz w:val="32"/>
          <w:szCs w:val="32"/>
          <w:lang w:val="en-US" w:eastAsia="zh-CN"/>
        </w:rPr>
      </w:pPr>
    </w:p>
    <w:p w14:paraId="0E9236C8">
      <w:pPr>
        <w:widowControl/>
        <w:rPr>
          <w:rFonts w:hint="eastAsia" w:ascii="仿宋" w:hAnsi="仿宋" w:eastAsia="仿宋" w:cs="仿宋"/>
          <w:color w:val="000000"/>
          <w:kern w:val="0"/>
          <w:sz w:val="32"/>
          <w:szCs w:val="32"/>
          <w:lang w:val="en-US" w:eastAsia="zh-CN"/>
        </w:rPr>
      </w:pPr>
    </w:p>
    <w:p w14:paraId="2D85DAB4">
      <w:pPr>
        <w:widowControl/>
        <w:ind w:firstLine="960" w:firstLineChars="3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农安县农村合作经济经营管理总站    农安县财政局</w:t>
      </w:r>
    </w:p>
    <w:p w14:paraId="0BD895DE">
      <w:pPr>
        <w:widowControl/>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D218E88">
      <w:pPr>
        <w:widowControl/>
        <w:ind w:firstLine="5440" w:firstLineChars="1700"/>
        <w:rPr>
          <w:rFonts w:hint="eastAsia" w:ascii="仿宋" w:hAnsi="仿宋" w:eastAsia="仿宋" w:cs="仿宋"/>
          <w:w w:val="98"/>
          <w:sz w:val="32"/>
          <w:szCs w:val="32"/>
        </w:rPr>
      </w:pPr>
      <w:r>
        <w:rPr>
          <w:rFonts w:hint="eastAsia" w:ascii="仿宋" w:hAnsi="仿宋" w:eastAsia="仿宋" w:cs="仿宋"/>
          <w:sz w:val="32"/>
          <w:szCs w:val="32"/>
          <w:lang w:val="en-US" w:eastAsia="zh-CN"/>
        </w:rPr>
        <w:t>2024年9月22日</w:t>
      </w:r>
    </w:p>
    <w:p w14:paraId="503952B0">
      <w:pPr>
        <w:rPr>
          <w:rFonts w:hint="eastAsia" w:ascii="仿宋" w:hAnsi="仿宋" w:eastAsia="仿宋" w:cs="仿宋"/>
          <w:w w:val="98"/>
          <w:sz w:val="32"/>
          <w:szCs w:val="32"/>
        </w:rPr>
      </w:pPr>
    </w:p>
    <w:p w14:paraId="26E1B90B">
      <w:pPr>
        <w:rPr>
          <w:rFonts w:hint="eastAsia" w:ascii="仿宋" w:hAnsi="仿宋" w:eastAsia="仿宋" w:cs="仿宋"/>
          <w:w w:val="98"/>
          <w:sz w:val="32"/>
          <w:szCs w:val="32"/>
        </w:rPr>
      </w:pPr>
    </w:p>
    <w:p w14:paraId="5571E616">
      <w:pPr>
        <w:rPr>
          <w:rFonts w:hint="eastAsia" w:ascii="仿宋" w:hAnsi="仿宋" w:eastAsia="仿宋" w:cs="仿宋"/>
          <w:w w:val="98"/>
          <w:sz w:val="32"/>
          <w:szCs w:val="32"/>
        </w:rPr>
      </w:pPr>
      <w:r>
        <w:rPr>
          <w:rFonts w:hint="eastAsia" w:ascii="仿宋" w:hAnsi="仿宋" w:eastAsia="仿宋" w:cs="仿宋"/>
          <w:w w:val="98"/>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401955</wp:posOffset>
                </wp:positionV>
                <wp:extent cx="5534025" cy="8890"/>
                <wp:effectExtent l="0" t="0" r="0" b="0"/>
                <wp:wrapNone/>
                <wp:docPr id="3" name="直线 6"/>
                <wp:cNvGraphicFramePr/>
                <a:graphic xmlns:a="http://schemas.openxmlformats.org/drawingml/2006/main">
                  <a:graphicData uri="http://schemas.microsoft.com/office/word/2010/wordprocessingShape">
                    <wps:wsp>
                      <wps:cNvCnPr/>
                      <wps:spPr>
                        <a:xfrm flipV="1">
                          <a:off x="0" y="0"/>
                          <a:ext cx="55340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5pt;margin-top:31.65pt;height:0.7pt;width:435.75pt;z-index:251664384;mso-width-relative:page;mso-height-relative:page;" filled="f" stroked="t" coordsize="21600,21600" o:gfxdata="UEsDBAoAAAAAAIdO4kAAAAAAAAAAAAAAAAAEAAAAZHJzL1BLAwQUAAAACACHTuJAMlla79cAAAAI&#10;AQAADwAAAGRycy9kb3ducmV2LnhtbE2PwU7DMBBE70j8g7VI3Fo7DbQlxKkQAi5ISJTA2YmXJMJe&#10;R7Gblr9nOcFxdlYzb8rdyTsx4xSHQBqypQKB1AY7UKehfntcbEHEZMgaFwg1fGOEXXV+VprChiO9&#10;4rxPneAQioXR0Kc0FlLGtkdv4jKMSOx9hsmbxHLqpJ3MkcO9kyul1tKbgbihNyPe99h+7Q9ew93H&#10;80P+Mjc+OHvT1e/W1+pppfXlRaZuQSQ8pb9n+MVndKiYqQkHslE4DYuMpyQN6zwHwf52o65BNHy4&#10;2oCsSvl/QPUDUEsDBBQAAAAIAIdO4kByEN/88wEAAOgDAAAOAAAAZHJzL2Uyb0RvYy54bWytU0uO&#10;EzEQ3SNxB8t70kmGjDKtdGYxYdggiMRnX7Hd3Zb8k8tJJ2fhGqzYcJy5BmV3CDBssqAXrbKr/Kre&#10;8/Pq/mgNO6iI2ruGzyZTzpQTXmrXNfzzp8dXS84wgZNgvFMNPynk9+uXL1ZDqNXc995IFRmBOKyH&#10;0PA+pVBXFYpeWcCJD8pRsvXRQqJl7CoZYSB0a6r5dHpbDT7KEL1QiLS7GZP8jBivAfRtq4XaeLG3&#10;yqURNSoDiShhrwPydZm2bZVIH9oWVWKm4cQ0lT81oXiX/9V6BXUXIfRanEeAa0Z4xsmCdtT0ArWB&#10;BGwf9T9QVovo0bdpIrytRiJFEWIxmz7T5mMPQRUuJDWGi+j4/2DF+8M2Mi0bfsOZA0sX/vT129P3&#10;H+w2azMErKnkwW3jeYVhGzPRYxsta40OX8hEhTqRYcei7OmirDomJmhzsbh5PZ0vOBOUWy7vivDV&#10;iJLRQsT0VnnLctBwo13mDTUc3mGizlT6qyRvG8eGht8tCiKQCVu6fAK3gYig68pZ9EbLR21MPoGx&#10;2z2YyA6QjVC+zI9w/yrLTTaA/VhXUqNFegXyjZMsnQJJ5Ohl8DyCVZIzo+gh5YgAoU6gzTWV1No4&#10;miBLPIqao52XJ7qQfYi660mJWZkyZ8gAZd6zWbPD/lwXpN8P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lla79cAAAAIAQAADwAAAAAAAAABACAAAAAiAAAAZHJzL2Rvd25yZXYueG1sUEsBAhQA&#10;FAAAAAgAh07iQHIQ3/zzAQAA6AMAAA4AAAAAAAAAAQAgAAAAJgEAAGRycy9lMm9Eb2MueG1sUEsF&#10;BgAAAAAGAAYAWQEAAIsFAAAAAA==&#10;">
                <v:fill on="f" focussize="0,0"/>
                <v:stroke color="#000000" joinstyle="round"/>
                <v:imagedata o:title=""/>
                <o:lock v:ext="edit" aspectratio="f"/>
              </v:line>
            </w:pict>
          </mc:Fallback>
        </mc:AlternateContent>
      </w:r>
    </w:p>
    <w:p w14:paraId="644929CB">
      <w:pPr>
        <w:spacing w:line="580" w:lineRule="exact"/>
        <w:rPr>
          <w:rFonts w:hint="eastAsia" w:ascii="仿宋" w:hAnsi="仿宋" w:eastAsia="仿宋" w:cs="仿宋"/>
          <w:b w:val="0"/>
          <w:bCs/>
          <w:sz w:val="32"/>
          <w:szCs w:val="32"/>
          <w:lang w:val="en-US" w:eastAsia="zh-CN"/>
        </w:rPr>
      </w:pPr>
      <w:r>
        <w:rPr>
          <w:rFonts w:hint="eastAsia" w:ascii="仿宋" w:hAnsi="仿宋" w:eastAsia="仿宋" w:cs="仿宋"/>
          <w:w w:val="98"/>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360680</wp:posOffset>
                </wp:positionV>
                <wp:extent cx="5538470" cy="7620"/>
                <wp:effectExtent l="0" t="0" r="0" b="0"/>
                <wp:wrapNone/>
                <wp:docPr id="2" name="Line 8"/>
                <wp:cNvGraphicFramePr/>
                <a:graphic xmlns:a="http://schemas.openxmlformats.org/drawingml/2006/main">
                  <a:graphicData uri="http://schemas.microsoft.com/office/word/2010/wordprocessingShape">
                    <wps:wsp>
                      <wps:cNvCnPr/>
                      <wps:spPr>
                        <a:xfrm>
                          <a:off x="0" y="0"/>
                          <a:ext cx="553847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0.15pt;margin-top:28.4pt;height:0.6pt;width:436.1pt;z-index:251663360;mso-width-relative:page;mso-height-relative:page;" filled="f" stroked="t" coordsize="21600,21600" o:gfxdata="UEsDBAoAAAAAAIdO4kAAAAAAAAAAAAAAAAAEAAAAZHJzL1BLAwQUAAAACACHTuJA0/Ge0dYAAAAH&#10;AQAADwAAAGRycy9kb3ducmV2LnhtbE2PvU7DQBCEeyTe4bRINFFy50QkxvicAnBHQwCl3diLbeHb&#10;c3yXH3h6liqUszOa+TZfn12vjjSGzrOFZGZAEVe+7rix8P5WTlNQISLX2HsmC98UYF1cX+WY1f7E&#10;r3TcxEZJCYcMLbQxDpnWoWrJYZj5gVi8Tz86jCLHRtcjnqTc9XpuzFI77FgWWhzosaXqa3NwFkL5&#10;QfvyZ1JNzHbReJrvn16e0drbm8Q8gIp0jpcw/OELOhTCtPMHroPqLUwXErRwt5QHxE5XyT2onRxS&#10;A7rI9X/+4hdQSwMEFAAAAAgAh07iQKqvbrXgAQAA3AMAAA4AAABkcnMvZTJvRG9jLnhtbK1TTW/b&#10;MAy9D9h/EHRfnHhLmxlxemjWXYotQLcfoEi0LUBfEJU4+fej5CzduksO80GmROqR75FaP5ysYUeI&#10;qL1r+WI25wyc9Eq7vuU/fzx9WHGGSTgljHfQ8jMgf9i8f7ceQwO1H7xREBmBOGzG0PIhpdBUFcoB&#10;rMCZD+DI2floRaJt7CsVxUjo1lT1fH5XjT6qEL0ERDrdTk5+QYy3APqu0xK2Xh4suDShRjAiESUc&#10;dEC+KdV2Hcj0vesQEjMtJ6aprJSE7H1eq81aNH0UYdDyUoK4pYQ3nKzQjpJeobYiCXaI+h8oq2X0&#10;6Ls0k95WE5GiCLFYzN9o8zKIAIULSY3hKjr+P1j57biLTKuW15w5Yanhz9oBW2VlxoANBTy6Xbzs&#10;MOxipnnqos1/IsBORc3zVU04JSbpcLn8uPp0T0JL8t3f1UXs6vVuiJi+grcsGy03lLZIKI7PmCgf&#10;hf4OyamMY2PLPy/rJSEKGryOGk6mDVQ8ur7cRW+0etLG5BsY+/2jiewocvPLl1kR7l9hOclW4DDF&#10;Fdc0FgMI9cUpls6BZHH0GnguwYLizAA9nmwRoGiS0OaWSEptHFWQhZ2kzNbeqzM14RCi7gdSYlGq&#10;zB5qeqn3MqB5qv7cF6TXR7n5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PxntHWAAAABwEAAA8A&#10;AAAAAAAAAQAgAAAAIgAAAGRycy9kb3ducmV2LnhtbFBLAQIUABQAAAAIAIdO4kCqr2614AEAANwD&#10;AAAOAAAAAAAAAAEAIAAAACU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w w:val="98"/>
          <w:sz w:val="32"/>
          <w:szCs w:val="32"/>
          <w:lang w:val="en-US" w:eastAsia="zh-CN"/>
        </w:rPr>
        <w:t xml:space="preserve"> </w:t>
      </w:r>
      <w:r>
        <w:rPr>
          <w:rFonts w:hint="eastAsia" w:ascii="仿宋" w:hAnsi="仿宋" w:eastAsia="仿宋" w:cs="仿宋"/>
          <w:b w:val="0"/>
          <w:bCs/>
          <w:sz w:val="32"/>
          <w:szCs w:val="32"/>
          <w:lang w:val="en-US" w:eastAsia="zh-CN"/>
        </w:rPr>
        <w:t xml:space="preserve">农安县农村合作经济经营管理总站    2024年9月22日印发 </w:t>
      </w:r>
    </w:p>
    <w:p w14:paraId="2C6A0FC9">
      <w:pPr>
        <w:pStyle w:val="2"/>
        <w:jc w:val="both"/>
        <w:rPr>
          <w:rFonts w:hint="eastAsia"/>
          <w:b w:val="0"/>
          <w:bCs w:val="0"/>
          <w:lang w:val="en-US" w:eastAsia="zh-CN"/>
        </w:rPr>
      </w:pPr>
      <w:r>
        <w:rPr>
          <w:rFonts w:hint="eastAsia" w:ascii="仿宋" w:hAnsi="仿宋" w:eastAsia="仿宋" w:cs="仿宋"/>
          <w:b w:val="0"/>
          <w:bCs w:val="0"/>
          <w:color w:val="000000"/>
          <w:kern w:val="0"/>
          <w:sz w:val="32"/>
          <w:szCs w:val="32"/>
          <w:lang w:val="en-US" w:eastAsia="zh-CN"/>
        </w:rPr>
        <w:t>附件：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789"/>
        <w:gridCol w:w="1790"/>
        <w:gridCol w:w="1790"/>
        <w:gridCol w:w="1790"/>
      </w:tblGrid>
      <w:tr w14:paraId="1113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nil"/>
              <w:left w:val="nil"/>
              <w:bottom w:val="nil"/>
              <w:right w:val="nil"/>
            </w:tcBorders>
            <w:vAlign w:val="top"/>
          </w:tcPr>
          <w:p w14:paraId="6AA05728">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农安县农业生产社会化服务环节服务费用价格表</w:t>
            </w:r>
          </w:p>
        </w:tc>
      </w:tr>
      <w:tr w14:paraId="0CAD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nil"/>
              <w:left w:val="nil"/>
              <w:right w:val="nil"/>
            </w:tcBorders>
            <w:vAlign w:val="top"/>
          </w:tcPr>
          <w:p w14:paraId="7FFCE0C1">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 xml:space="preserve">                                单位：元</w:t>
            </w:r>
          </w:p>
        </w:tc>
      </w:tr>
      <w:tr w14:paraId="657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top"/>
          </w:tcPr>
          <w:p w14:paraId="38DDA663">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服务环节</w:t>
            </w:r>
          </w:p>
        </w:tc>
        <w:tc>
          <w:tcPr>
            <w:tcW w:w="1789" w:type="dxa"/>
            <w:vAlign w:val="top"/>
          </w:tcPr>
          <w:p w14:paraId="49B704FE">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耕</w:t>
            </w:r>
          </w:p>
        </w:tc>
        <w:tc>
          <w:tcPr>
            <w:tcW w:w="1790" w:type="dxa"/>
            <w:vAlign w:val="top"/>
          </w:tcPr>
          <w:p w14:paraId="1FB5E1A1">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种</w:t>
            </w:r>
          </w:p>
        </w:tc>
        <w:tc>
          <w:tcPr>
            <w:tcW w:w="1790" w:type="dxa"/>
            <w:vAlign w:val="top"/>
          </w:tcPr>
          <w:p w14:paraId="5B0F26DC">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防</w:t>
            </w:r>
          </w:p>
        </w:tc>
        <w:tc>
          <w:tcPr>
            <w:tcW w:w="1790" w:type="dxa"/>
            <w:vAlign w:val="top"/>
          </w:tcPr>
          <w:p w14:paraId="010E746E">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收</w:t>
            </w:r>
          </w:p>
        </w:tc>
      </w:tr>
      <w:tr w14:paraId="25CC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top"/>
          </w:tcPr>
          <w:p w14:paraId="2D103CFB">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指导价</w:t>
            </w:r>
          </w:p>
        </w:tc>
        <w:tc>
          <w:tcPr>
            <w:tcW w:w="1789" w:type="dxa"/>
            <w:vAlign w:val="top"/>
          </w:tcPr>
          <w:p w14:paraId="5E148BAA">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500</w:t>
            </w:r>
          </w:p>
        </w:tc>
        <w:tc>
          <w:tcPr>
            <w:tcW w:w="1790" w:type="dxa"/>
            <w:vAlign w:val="top"/>
          </w:tcPr>
          <w:p w14:paraId="6E0DC70C">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500</w:t>
            </w:r>
          </w:p>
        </w:tc>
        <w:tc>
          <w:tcPr>
            <w:tcW w:w="1790" w:type="dxa"/>
            <w:vAlign w:val="top"/>
          </w:tcPr>
          <w:p w14:paraId="0713F0FF">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100</w:t>
            </w:r>
          </w:p>
        </w:tc>
        <w:tc>
          <w:tcPr>
            <w:tcW w:w="1790" w:type="dxa"/>
            <w:vAlign w:val="top"/>
          </w:tcPr>
          <w:p w14:paraId="460C9627">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900</w:t>
            </w:r>
          </w:p>
        </w:tc>
      </w:tr>
      <w:tr w14:paraId="3D7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14:paraId="08E76C6C">
            <w:pPr>
              <w:widowControl/>
              <w:jc w:val="center"/>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市场价</w:t>
            </w:r>
          </w:p>
        </w:tc>
        <w:tc>
          <w:tcPr>
            <w:tcW w:w="1789" w:type="dxa"/>
          </w:tcPr>
          <w:p w14:paraId="7EE8BC8A">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580</w:t>
            </w:r>
          </w:p>
        </w:tc>
        <w:tc>
          <w:tcPr>
            <w:tcW w:w="1790" w:type="dxa"/>
          </w:tcPr>
          <w:p w14:paraId="3DE2F71A">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580</w:t>
            </w:r>
          </w:p>
        </w:tc>
        <w:tc>
          <w:tcPr>
            <w:tcW w:w="1790" w:type="dxa"/>
          </w:tcPr>
          <w:p w14:paraId="58A3C3CE">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130</w:t>
            </w:r>
          </w:p>
        </w:tc>
        <w:tc>
          <w:tcPr>
            <w:tcW w:w="1790" w:type="dxa"/>
          </w:tcPr>
          <w:p w14:paraId="50FA87FE">
            <w:pPr>
              <w:widowControl/>
              <w:jc w:val="center"/>
              <w:rPr>
                <w:rFonts w:hint="default"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980</w:t>
            </w:r>
          </w:p>
        </w:tc>
      </w:tr>
    </w:tbl>
    <w:p w14:paraId="7D85DE1F">
      <w:pPr>
        <w:pStyle w:val="2"/>
        <w:rPr>
          <w:rFonts w:hint="eastAsia"/>
          <w:lang w:val="en-US" w:eastAsia="zh-CN"/>
        </w:rPr>
      </w:pPr>
      <w:bookmarkStart w:id="0" w:name="_GoBack"/>
      <w:bookmarkEnd w:id="0"/>
    </w:p>
    <w:sectPr>
      <w:footerReference r:id="rId3" w:type="default"/>
      <w:pgSz w:w="11906" w:h="16838"/>
      <w:pgMar w:top="1871"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6870">
    <w:pPr>
      <w:pStyle w:val="4"/>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3FB51C">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UHaHEAQAAjw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bUHaHEAQAAjwMAAA4AAAAAAAAAAQAgAAAAHwEAAGRycy9lMm9Eb2MueG1s&#10;UEsFBgAAAAAGAAYAWQEAAFUFAAAAAA==&#10;">
              <v:fill on="f" focussize="0,0"/>
              <v:stroke on="f"/>
              <v:imagedata o:title=""/>
              <o:lock v:ext="edit" aspectratio="f"/>
              <v:textbox inset="0mm,0mm,0mm,0mm" style="mso-fit-shape-to-text:t;">
                <w:txbxContent>
                  <w:p w14:paraId="7C3FB51C">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MDE3MTVlM2Q3ZGI0YjAxNmM4OTg3NjU0MjI5ZmEifQ=="/>
  </w:docVars>
  <w:rsids>
    <w:rsidRoot w:val="522526CD"/>
    <w:rsid w:val="003D6656"/>
    <w:rsid w:val="005610EB"/>
    <w:rsid w:val="00824069"/>
    <w:rsid w:val="02623454"/>
    <w:rsid w:val="03047C3F"/>
    <w:rsid w:val="03977E56"/>
    <w:rsid w:val="04861348"/>
    <w:rsid w:val="04E80C4D"/>
    <w:rsid w:val="05B44CC5"/>
    <w:rsid w:val="06125D84"/>
    <w:rsid w:val="07D14FCE"/>
    <w:rsid w:val="081B3BDB"/>
    <w:rsid w:val="089963F4"/>
    <w:rsid w:val="08A94889"/>
    <w:rsid w:val="097A7FD3"/>
    <w:rsid w:val="09841D39"/>
    <w:rsid w:val="0A104E7E"/>
    <w:rsid w:val="0AC66849"/>
    <w:rsid w:val="0ACB1CE1"/>
    <w:rsid w:val="0BBA6DAD"/>
    <w:rsid w:val="0BCF0AAA"/>
    <w:rsid w:val="0C9B2485"/>
    <w:rsid w:val="0E9A5C50"/>
    <w:rsid w:val="0EE26D46"/>
    <w:rsid w:val="109A0CCD"/>
    <w:rsid w:val="12430ABD"/>
    <w:rsid w:val="12CB3E0D"/>
    <w:rsid w:val="12E82452"/>
    <w:rsid w:val="130B7EEE"/>
    <w:rsid w:val="136C223D"/>
    <w:rsid w:val="13AB6973"/>
    <w:rsid w:val="13EE3A98"/>
    <w:rsid w:val="15CC1BB7"/>
    <w:rsid w:val="15CD16BF"/>
    <w:rsid w:val="15F06C4A"/>
    <w:rsid w:val="1613020D"/>
    <w:rsid w:val="16555FAF"/>
    <w:rsid w:val="17594DDC"/>
    <w:rsid w:val="178C3CDF"/>
    <w:rsid w:val="18B4279C"/>
    <w:rsid w:val="18CE3E98"/>
    <w:rsid w:val="18DC4807"/>
    <w:rsid w:val="1ACF2F66"/>
    <w:rsid w:val="1BCE1434"/>
    <w:rsid w:val="1C0766DA"/>
    <w:rsid w:val="1C220738"/>
    <w:rsid w:val="1C312C45"/>
    <w:rsid w:val="1CAA2094"/>
    <w:rsid w:val="1DB726C4"/>
    <w:rsid w:val="1EA34795"/>
    <w:rsid w:val="1ECA5375"/>
    <w:rsid w:val="1ED65854"/>
    <w:rsid w:val="1F4E2861"/>
    <w:rsid w:val="1F6B0692"/>
    <w:rsid w:val="1F702A5C"/>
    <w:rsid w:val="1FA23B2A"/>
    <w:rsid w:val="1FBF278C"/>
    <w:rsid w:val="203B3E4A"/>
    <w:rsid w:val="204E1E06"/>
    <w:rsid w:val="205B24B5"/>
    <w:rsid w:val="205C7EF3"/>
    <w:rsid w:val="205F57FA"/>
    <w:rsid w:val="20C11A4B"/>
    <w:rsid w:val="20EC73FF"/>
    <w:rsid w:val="212E1E25"/>
    <w:rsid w:val="21A02DB6"/>
    <w:rsid w:val="223B2B04"/>
    <w:rsid w:val="22511DC1"/>
    <w:rsid w:val="226D0C64"/>
    <w:rsid w:val="22851A6B"/>
    <w:rsid w:val="234F36E4"/>
    <w:rsid w:val="235519DC"/>
    <w:rsid w:val="23B9665E"/>
    <w:rsid w:val="23C95987"/>
    <w:rsid w:val="240E783E"/>
    <w:rsid w:val="243D6869"/>
    <w:rsid w:val="250A57F8"/>
    <w:rsid w:val="252C01BD"/>
    <w:rsid w:val="2546218C"/>
    <w:rsid w:val="25574A18"/>
    <w:rsid w:val="25B119B2"/>
    <w:rsid w:val="25D53C59"/>
    <w:rsid w:val="26BC301B"/>
    <w:rsid w:val="26E06E67"/>
    <w:rsid w:val="2727075A"/>
    <w:rsid w:val="27896EEB"/>
    <w:rsid w:val="27C748D4"/>
    <w:rsid w:val="27DA7E77"/>
    <w:rsid w:val="27F23097"/>
    <w:rsid w:val="28055056"/>
    <w:rsid w:val="285F2D5E"/>
    <w:rsid w:val="299F2DC9"/>
    <w:rsid w:val="2A382B7A"/>
    <w:rsid w:val="2AF8540A"/>
    <w:rsid w:val="2B5214A0"/>
    <w:rsid w:val="2B5C7557"/>
    <w:rsid w:val="2C7A3CC3"/>
    <w:rsid w:val="2CBF325C"/>
    <w:rsid w:val="2CC87124"/>
    <w:rsid w:val="2CFC72DD"/>
    <w:rsid w:val="2E51438B"/>
    <w:rsid w:val="2EA174CD"/>
    <w:rsid w:val="2F860E83"/>
    <w:rsid w:val="2FAD71E0"/>
    <w:rsid w:val="302208F9"/>
    <w:rsid w:val="30332B06"/>
    <w:rsid w:val="3082466B"/>
    <w:rsid w:val="313D392C"/>
    <w:rsid w:val="31593BBA"/>
    <w:rsid w:val="318E375F"/>
    <w:rsid w:val="319C6612"/>
    <w:rsid w:val="31D7461A"/>
    <w:rsid w:val="322A1CE7"/>
    <w:rsid w:val="32803FFD"/>
    <w:rsid w:val="32FA790B"/>
    <w:rsid w:val="3315152C"/>
    <w:rsid w:val="3519182B"/>
    <w:rsid w:val="35A84A6E"/>
    <w:rsid w:val="36242FE2"/>
    <w:rsid w:val="367A17DE"/>
    <w:rsid w:val="37762D2D"/>
    <w:rsid w:val="392E030F"/>
    <w:rsid w:val="393B3575"/>
    <w:rsid w:val="397336CF"/>
    <w:rsid w:val="39EA2B7D"/>
    <w:rsid w:val="3AC61885"/>
    <w:rsid w:val="3B4029C5"/>
    <w:rsid w:val="3B9052B1"/>
    <w:rsid w:val="3BE16CCB"/>
    <w:rsid w:val="3BE52A09"/>
    <w:rsid w:val="3C3C77B0"/>
    <w:rsid w:val="3CFE1B29"/>
    <w:rsid w:val="3D696196"/>
    <w:rsid w:val="3D6B6B23"/>
    <w:rsid w:val="3DB64BD6"/>
    <w:rsid w:val="3E135D25"/>
    <w:rsid w:val="3E1D2DE8"/>
    <w:rsid w:val="3E7E1139"/>
    <w:rsid w:val="400973E0"/>
    <w:rsid w:val="41691A27"/>
    <w:rsid w:val="41FD2F74"/>
    <w:rsid w:val="432B1C90"/>
    <w:rsid w:val="43E75C8A"/>
    <w:rsid w:val="44033C79"/>
    <w:rsid w:val="449D1665"/>
    <w:rsid w:val="46004DE1"/>
    <w:rsid w:val="46B34549"/>
    <w:rsid w:val="48C06AA9"/>
    <w:rsid w:val="48E6727A"/>
    <w:rsid w:val="49B151DD"/>
    <w:rsid w:val="4A6107E8"/>
    <w:rsid w:val="4B985ABC"/>
    <w:rsid w:val="4BCF0318"/>
    <w:rsid w:val="4D0659B3"/>
    <w:rsid w:val="4D7F0CE1"/>
    <w:rsid w:val="4E7D1A12"/>
    <w:rsid w:val="4F5A5294"/>
    <w:rsid w:val="503D54B2"/>
    <w:rsid w:val="5147420C"/>
    <w:rsid w:val="518C1C1F"/>
    <w:rsid w:val="51DF2696"/>
    <w:rsid w:val="520E6AD8"/>
    <w:rsid w:val="522030C9"/>
    <w:rsid w:val="522526CD"/>
    <w:rsid w:val="5233158F"/>
    <w:rsid w:val="52C1766A"/>
    <w:rsid w:val="530F6651"/>
    <w:rsid w:val="537C594E"/>
    <w:rsid w:val="54366037"/>
    <w:rsid w:val="54DC401A"/>
    <w:rsid w:val="54EB4EAE"/>
    <w:rsid w:val="561F417C"/>
    <w:rsid w:val="577613A7"/>
    <w:rsid w:val="57981F0B"/>
    <w:rsid w:val="57A4224B"/>
    <w:rsid w:val="57FE63ED"/>
    <w:rsid w:val="583C29E5"/>
    <w:rsid w:val="58603B9A"/>
    <w:rsid w:val="5A0D5883"/>
    <w:rsid w:val="5B547C51"/>
    <w:rsid w:val="5B9B762E"/>
    <w:rsid w:val="5D391422"/>
    <w:rsid w:val="5DF1053F"/>
    <w:rsid w:val="600E3824"/>
    <w:rsid w:val="60B21F33"/>
    <w:rsid w:val="61BF60E7"/>
    <w:rsid w:val="626B3216"/>
    <w:rsid w:val="63A469EA"/>
    <w:rsid w:val="64677673"/>
    <w:rsid w:val="65534AD5"/>
    <w:rsid w:val="655A7278"/>
    <w:rsid w:val="65BE54A4"/>
    <w:rsid w:val="65C04DCE"/>
    <w:rsid w:val="66007FAC"/>
    <w:rsid w:val="660A0E3D"/>
    <w:rsid w:val="662621A5"/>
    <w:rsid w:val="6710264E"/>
    <w:rsid w:val="67A55390"/>
    <w:rsid w:val="67FC0769"/>
    <w:rsid w:val="689E250C"/>
    <w:rsid w:val="6A1422CE"/>
    <w:rsid w:val="6A242EE4"/>
    <w:rsid w:val="6B3611C7"/>
    <w:rsid w:val="6BDB3A77"/>
    <w:rsid w:val="6C275A37"/>
    <w:rsid w:val="6D8013D5"/>
    <w:rsid w:val="6DE7043F"/>
    <w:rsid w:val="6EDC188F"/>
    <w:rsid w:val="701557A9"/>
    <w:rsid w:val="70293181"/>
    <w:rsid w:val="70E66560"/>
    <w:rsid w:val="711F68DE"/>
    <w:rsid w:val="71791D68"/>
    <w:rsid w:val="720158B9"/>
    <w:rsid w:val="73A750C7"/>
    <w:rsid w:val="74D3178F"/>
    <w:rsid w:val="751853F4"/>
    <w:rsid w:val="75321E75"/>
    <w:rsid w:val="75501031"/>
    <w:rsid w:val="76051268"/>
    <w:rsid w:val="76E560D6"/>
    <w:rsid w:val="76FF9024"/>
    <w:rsid w:val="78F41CD4"/>
    <w:rsid w:val="7A5B64AE"/>
    <w:rsid w:val="7A8F7F06"/>
    <w:rsid w:val="7B0A5E65"/>
    <w:rsid w:val="7B130F00"/>
    <w:rsid w:val="7B3307AF"/>
    <w:rsid w:val="7BA96A48"/>
    <w:rsid w:val="7BC1389C"/>
    <w:rsid w:val="7BFC47F7"/>
    <w:rsid w:val="7C277164"/>
    <w:rsid w:val="7C52568F"/>
    <w:rsid w:val="7C756BF5"/>
    <w:rsid w:val="7CE309DD"/>
    <w:rsid w:val="7DB83993"/>
    <w:rsid w:val="7E2748F9"/>
    <w:rsid w:val="7EC565EC"/>
    <w:rsid w:val="7ECA128F"/>
    <w:rsid w:val="7F364DF4"/>
    <w:rsid w:val="7F69341C"/>
    <w:rsid w:val="7F693E2D"/>
    <w:rsid w:val="7FD77C55"/>
    <w:rsid w:val="B2D7C1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DejaVu Sans" w:hAnsi="DejaVu Sans" w:eastAsia="宋体" w:cs="Times New Roman"/>
      <w:b/>
      <w:kern w:val="28"/>
      <w:sz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2400</Words>
  <Characters>2483</Characters>
  <Lines>0</Lines>
  <Paragraphs>0</Paragraphs>
  <TotalTime>12</TotalTime>
  <ScaleCrop>false</ScaleCrop>
  <LinksUpToDate>false</LinksUpToDate>
  <CharactersWithSpaces>2583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2022-06-08T18:15:00Z</dcterms:created>
  <dc:creator>Administrator</dc:creator>
  <cp:lastModifiedBy>盛气凌人</cp:lastModifiedBy>
  <cp:lastPrinted>2024-09-26T02:26:08Z</cp:lastPrinted>
  <dcterms:modified xsi:type="dcterms:W3CDTF">2024-09-26T02:28:49Z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FBFDA44FE53A737CDFC0F466324D8506_43</vt:lpwstr>
  </property>
</Properties>
</file>